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14"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25"/>
          <w:szCs w:val="25"/>
          <w:b w:val="1"/>
          <w:bCs w:val="1"/>
          <w:color w:val="auto"/>
        </w:rPr>
        <w:t>SILICON LABORATORIES INC.</w:t>
      </w:r>
    </w:p>
    <w:p>
      <w:pPr>
        <w:spacing w:after="0" w:line="4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Acquisition Announcement FAQ</w:t>
      </w:r>
    </w:p>
    <w:p>
      <w:pPr>
        <w:spacing w:after="0" w:line="131"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Texas Instruments acquiring Silicon Labs? Why did we agree to be acquired now?</w:t>
      </w:r>
    </w:p>
    <w:p>
      <w:pPr>
        <w:spacing w:after="0" w:line="134" w:lineRule="exact"/>
        <w:rPr>
          <w:rFonts w:ascii="Times New Roman" w:cs="Times New Roman" w:eastAsia="Times New Roman" w:hAnsi="Times New Roman"/>
          <w:sz w:val="18"/>
          <w:szCs w:val="18"/>
          <w:b w:val="1"/>
          <w:bCs w:val="1"/>
          <w:color w:val="auto"/>
        </w:rPr>
      </w:pPr>
    </w:p>
    <w:p>
      <w:pPr>
        <w:ind w:left="1420" w:right="180" w:hanging="331"/>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is acquiring Silicon Labs because we complement each other and Texas Instruments sees extraordinary value in what we have built – our wireless portfolio, our world-class engineering talent, and our ambitious product roadmap.</w:t>
      </w:r>
    </w:p>
    <w:p>
      <w:pPr>
        <w:spacing w:after="0" w:line="67" w:lineRule="exact"/>
        <w:rPr>
          <w:rFonts w:ascii="Times New Roman" w:cs="Times New Roman" w:eastAsia="Times New Roman" w:hAnsi="Times New Roman"/>
          <w:sz w:val="18"/>
          <w:szCs w:val="18"/>
          <w:color w:val="auto"/>
        </w:rPr>
      </w:pPr>
    </w:p>
    <w:p>
      <w:pPr>
        <w:ind w:left="1420" w:right="380" w:hanging="331"/>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with their global operational scale and large sales channel footprint, the united company would deliver unique value, scale, and choice to the market.</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Texas Instruments a good home for us?</w:t>
      </w:r>
    </w:p>
    <w:p>
      <w:pPr>
        <w:spacing w:after="0" w:line="134" w:lineRule="exact"/>
        <w:rPr>
          <w:rFonts w:ascii="Times New Roman" w:cs="Times New Roman" w:eastAsia="Times New Roman" w:hAnsi="Times New Roman"/>
          <w:sz w:val="18"/>
          <w:szCs w:val="18"/>
          <w:b w:val="1"/>
          <w:bCs w:val="1"/>
          <w:color w:val="auto"/>
        </w:rPr>
      </w:pPr>
    </w:p>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is a strong fit for Silicon Labs because of both strategic alignment and shared values.</w:t>
      </w:r>
    </w:p>
    <w:p>
      <w:pPr>
        <w:spacing w:after="0" w:line="130" w:lineRule="exact"/>
        <w:rPr>
          <w:rFonts w:ascii="Times New Roman" w:cs="Times New Roman" w:eastAsia="Times New Roman" w:hAnsi="Times New Roman"/>
          <w:sz w:val="18"/>
          <w:szCs w:val="18"/>
          <w:color w:val="auto"/>
        </w:rPr>
      </w:pPr>
    </w:p>
    <w:p>
      <w:pPr>
        <w:ind w:left="1420" w:right="80" w:hanging="331"/>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scale matter to us, but so does a great company culture, and Texas Instruments values not only what we do, but how we do it.</w:t>
      </w:r>
    </w:p>
    <w:p>
      <w:pPr>
        <w:spacing w:after="0" w:line="67" w:lineRule="exact"/>
        <w:rPr>
          <w:rFonts w:ascii="Times New Roman" w:cs="Times New Roman" w:eastAsia="Times New Roman" w:hAnsi="Times New Roman"/>
          <w:sz w:val="18"/>
          <w:szCs w:val="18"/>
          <w:color w:val="auto"/>
        </w:rPr>
      </w:pPr>
    </w:p>
    <w:p>
      <w:pPr>
        <w:ind w:left="1420" w:right="100" w:hanging="331"/>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recognize our vision for the future of wireless connectivity, the depth and breadth of our technical expertise, the quality of our work, and the culture of innovation, agility and integrity that defines this team.</w:t>
      </w:r>
    </w:p>
    <w:p>
      <w:pPr>
        <w:spacing w:after="0" w:line="67" w:lineRule="exact"/>
        <w:rPr>
          <w:rFonts w:ascii="Times New Roman" w:cs="Times New Roman" w:eastAsia="Times New Roman" w:hAnsi="Times New Roman"/>
          <w:sz w:val="18"/>
          <w:szCs w:val="18"/>
          <w:color w:val="auto"/>
        </w:rPr>
      </w:pPr>
    </w:p>
    <w:p>
      <w:pPr>
        <w:ind w:left="1420" w:right="40" w:hanging="331"/>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joining Texas Instruments, we gain access to greater resources, scale, and long-term investment to accelerate growth, reach more customers, and create new opportunities for our team.</w:t>
      </w:r>
    </w:p>
    <w:p>
      <w:pPr>
        <w:spacing w:after="0" w:line="67"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interest in Silicon Labs reflects the extraordinary value we’ve built together — especially our portfolio, engineering talent, and ambitious roadmap.</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moment marks both recognition of that work and the beginning of our next chapter.</w:t>
      </w:r>
    </w:p>
    <w:p>
      <w:pPr>
        <w:spacing w:after="0" w:line="12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me? Will jobs be impacted?</w:t>
      </w:r>
    </w:p>
    <w:p>
      <w:pPr>
        <w:spacing w:after="0" w:line="134" w:lineRule="exact"/>
        <w:rPr>
          <w:rFonts w:ascii="Times New Roman" w:cs="Times New Roman" w:eastAsia="Times New Roman" w:hAnsi="Times New Roman"/>
          <w:sz w:val="18"/>
          <w:szCs w:val="18"/>
          <w:b w:val="1"/>
          <w:bCs w:val="1"/>
          <w:color w:val="auto"/>
        </w:rPr>
      </w:pPr>
    </w:p>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changes today.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it is business as usual and Silicon Labs will continue to operate independently.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decisions have been made regarding roles after close.</w:t>
      </w:r>
    </w:p>
    <w:p>
      <w:pPr>
        <w:spacing w:after="0" w:line="130"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recognizes and values the talent at Silicon Labs and will take the time to understand our organization and people before making any future decisions.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communicate openly if and when there is more to share.</w:t>
      </w:r>
    </w:p>
    <w:p>
      <w:pPr>
        <w:spacing w:after="0" w:line="130" w:lineRule="exact"/>
        <w:rPr>
          <w:rFonts w:ascii="Times New Roman" w:cs="Times New Roman" w:eastAsia="Times New Roman" w:hAnsi="Times New Roman"/>
          <w:sz w:val="18"/>
          <w:szCs w:val="18"/>
          <w:color w:val="auto"/>
        </w:rPr>
      </w:pPr>
    </w:p>
    <w:p>
      <w:pPr>
        <w:ind w:left="1420" w:right="140" w:hanging="331"/>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Today’s announcement is just the first step as we progress towards the completion of the transaction. The transaction is expected to close in the first half of 2027, subject to closing conditions.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Silicon Labs remains an independent company until the transaction closes.</w:t>
      </w:r>
    </w:p>
    <w:p>
      <w:pPr>
        <w:spacing w:after="0" w:line="130"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a thoughtful and transparent integration process once the transaction closes. Planning is underway, and our goal is to minimize disruption and maintain focus on our customers and employees.</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my compensation and equity awards as a result of this announcement?</w:t>
      </w:r>
    </w:p>
    <w:p>
      <w:pPr>
        <w:spacing w:after="0" w:line="134" w:lineRule="exact"/>
        <w:rPr>
          <w:rFonts w:ascii="Times New Roman" w:cs="Times New Roman" w:eastAsia="Times New Roman" w:hAnsi="Times New Roman"/>
          <w:sz w:val="18"/>
          <w:szCs w:val="18"/>
          <w:b w:val="1"/>
          <w:bCs w:val="1"/>
          <w:color w:val="auto"/>
        </w:rPr>
      </w:pPr>
    </w:p>
    <w:p>
      <w:pPr>
        <w:ind w:left="1420" w:right="480" w:hanging="331"/>
        <w:spacing w:after="0" w:line="282"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changes as a result of this announcement. We will run our normal Silicon Labs annual compensation cycle, exactly as planned.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Use Only</w:t>
      </w:r>
    </w:p>
    <w:p>
      <w:pPr>
        <w:sectPr>
          <w:pgSz w:w="11900" w:h="16838" w:orient="portrait"/>
          <w:cols w:equalWidth="0" w:num="1">
            <w:col w:w="10980"/>
          </w:cols>
          <w:pgMar w:left="440" w:top="266" w:right="479" w:bottom="1440" w:gutter="0" w:footer="0" w:header="0"/>
        </w:sectPr>
      </w:pPr>
    </w:p>
    <w:bookmarkStart w:id="2" w:name="page3"/>
    <w:bookmarkEnd w:id="2"/>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Will there be global footprint changes as part of the transaction?</w:t>
      </w:r>
    </w:p>
    <w:p>
      <w:pPr>
        <w:spacing w:after="0" w:line="134" w:lineRule="exact"/>
        <w:rPr>
          <w:rFonts w:ascii="Times New Roman" w:cs="Times New Roman" w:eastAsia="Times New Roman" w:hAnsi="Times New Roman"/>
          <w:sz w:val="18"/>
          <w:szCs w:val="18"/>
          <w:b w:val="1"/>
          <w:bCs w:val="1"/>
          <w:color w:val="auto"/>
        </w:rPr>
      </w:pPr>
    </w:p>
    <w:p>
      <w:pPr>
        <w:ind w:left="1420" w:right="24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plans to change Silicon Labs’ global footprint or relocate employees. If any changes are considered in the future, we will communicate them transparently and with advance notice.</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two companies be integrated, or will Silicon Labs operate separately?</w:t>
      </w:r>
    </w:p>
    <w:p>
      <w:pPr>
        <w:spacing w:after="0" w:line="134" w:lineRule="exact"/>
        <w:rPr>
          <w:rFonts w:ascii="Times New Roman" w:cs="Times New Roman" w:eastAsia="Times New Roman" w:hAnsi="Times New Roman"/>
          <w:sz w:val="18"/>
          <w:szCs w:val="18"/>
          <w:b w:val="1"/>
          <w:bCs w:val="1"/>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it is business as usual and Silicon Labs will continue to operate independently.</w:t>
      </w:r>
    </w:p>
    <w:p>
      <w:pPr>
        <w:spacing w:after="0" w:line="130"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recognizes and values the talent at Silicon Labs and will take the time to understand our organization and people before making any future decisions.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communicate openly if and when there is more to share.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close of the transaction, Silicon Labs will become part of Texas Instruments.</w:t>
      </w:r>
    </w:p>
    <w:p>
      <w:pPr>
        <w:spacing w:after="0" w:line="130" w:lineRule="exact"/>
        <w:rPr>
          <w:rFonts w:ascii="Times New Roman" w:cs="Times New Roman" w:eastAsia="Times New Roman" w:hAnsi="Times New Roman"/>
          <w:sz w:val="18"/>
          <w:szCs w:val="18"/>
          <w:color w:val="auto"/>
        </w:rPr>
      </w:pPr>
    </w:p>
    <w:p>
      <w:pPr>
        <w:ind w:left="1420" w:right="42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plans to integrate the companies will be developed between signing and closing - we will keep you updated throughout the process.</w:t>
      </w:r>
    </w:p>
    <w:p>
      <w:pPr>
        <w:spacing w:after="0" w:line="67" w:lineRule="exact"/>
        <w:rPr>
          <w:rFonts w:ascii="Times New Roman" w:cs="Times New Roman" w:eastAsia="Times New Roman" w:hAnsi="Times New Roman"/>
          <w:sz w:val="18"/>
          <w:szCs w:val="18"/>
          <w:color w:val="auto"/>
        </w:rPr>
      </w:pPr>
    </w:p>
    <w:p>
      <w:pPr>
        <w:ind w:left="1420" w:right="14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thing we do know now is that the core values of both companies — connection, accountability, authenticity, and finding better ways to work — align well.</w:t>
      </w:r>
    </w:p>
    <w:p>
      <w:pPr>
        <w:spacing w:after="0" w:line="67"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time, being part of Texas Instruments means access to greater resources, expanded opportunities, and the ability to help shape the next era of technology innovation.</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anyone from Silicon Labs join Texas Instruments’ leadership team?</w:t>
      </w:r>
    </w:p>
    <w:p>
      <w:pPr>
        <w:spacing w:after="0" w:line="134" w:lineRule="exact"/>
        <w:rPr>
          <w:rFonts w:ascii="Times New Roman" w:cs="Times New Roman" w:eastAsia="Times New Roman" w:hAnsi="Times New Roman"/>
          <w:sz w:val="18"/>
          <w:szCs w:val="18"/>
          <w:b w:val="1"/>
          <w:bCs w:val="1"/>
          <w:color w:val="auto"/>
        </w:rPr>
      </w:pPr>
    </w:p>
    <w:p>
      <w:pPr>
        <w:ind w:left="142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evaluating the transaction, the Board and the Executive team focused on delivering the best result for our shareholders and did not discuss this subject with Texas Instruments.</w:t>
      </w:r>
    </w:p>
    <w:p>
      <w:pPr>
        <w:spacing w:after="0" w:line="67" w:lineRule="exact"/>
        <w:rPr>
          <w:rFonts w:ascii="Times New Roman" w:cs="Times New Roman" w:eastAsia="Times New Roman" w:hAnsi="Times New Roman"/>
          <w:sz w:val="18"/>
          <w:szCs w:val="18"/>
          <w:color w:val="auto"/>
        </w:rPr>
      </w:pPr>
    </w:p>
    <w:p>
      <w:pPr>
        <w:ind w:left="1420" w:right="62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Silicon Labs will continue to operate normally until close. Any go-forward and integration plans will be developed over that timeframe.</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the deal to close? What changes will there be for Silicon Labs in the near-term?</w:t>
      </w:r>
    </w:p>
    <w:p>
      <w:pPr>
        <w:spacing w:after="0" w:line="134" w:lineRule="exact"/>
        <w:rPr>
          <w:rFonts w:ascii="Times New Roman" w:cs="Times New Roman" w:eastAsia="Times New Roman" w:hAnsi="Times New Roman"/>
          <w:sz w:val="18"/>
          <w:szCs w:val="18"/>
          <w:b w:val="1"/>
          <w:bCs w:val="1"/>
          <w:color w:val="auto"/>
        </w:rPr>
      </w:pPr>
    </w:p>
    <w:p>
      <w:pPr>
        <w:ind w:left="1420" w:right="48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expected to close in the first half of 2027, subject to the receipt of regulatory approvals and other customary closing conditions, including approval by Silicon Labs shareholders.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steps take time, and at this stage we do not have certainty on the exact timing of completion.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always risk that a transaction may not close.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vital that we continue to operate our business in the normal course.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begin the process of planning the integration of our two companies.</w:t>
      </w:r>
    </w:p>
    <w:p>
      <w:pPr>
        <w:spacing w:after="0" w:line="126"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this impact our customers/suppliers/partners?</w:t>
      </w:r>
    </w:p>
    <w:p>
      <w:pPr>
        <w:spacing w:after="0" w:line="134" w:lineRule="exact"/>
        <w:rPr>
          <w:rFonts w:ascii="Times New Roman" w:cs="Times New Roman" w:eastAsia="Times New Roman" w:hAnsi="Times New Roman"/>
          <w:sz w:val="18"/>
          <w:szCs w:val="18"/>
          <w:b w:val="1"/>
          <w:bCs w:val="1"/>
          <w:color w:val="auto"/>
        </w:rPr>
      </w:pPr>
    </w:p>
    <w:p>
      <w:pPr>
        <w:ind w:left="1420" w:right="24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deal closes, it is business as usual. This announcement has no immediate impact on our relationship with our customers, suppliers, and partners.</w:t>
      </w:r>
    </w:p>
    <w:p>
      <w:pPr>
        <w:spacing w:after="0" w:line="63" w:lineRule="exact"/>
        <w:rPr>
          <w:rFonts w:ascii="Times New Roman" w:cs="Times New Roman" w:eastAsia="Times New Roman" w:hAnsi="Times New Roman"/>
          <w:sz w:val="18"/>
          <w:szCs w:val="18"/>
          <w:color w:val="auto"/>
        </w:rPr>
      </w:pPr>
    </w:p>
    <w:p>
      <w:pPr>
        <w:ind w:left="960" w:right="360" w:hanging="532"/>
        <w:spacing w:after="0" w:line="286" w:lineRule="auto"/>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you expect Texas Instruments’ ownership to affect Silicon Labs’ existing relationships with its key foundry and OSAT partners such as TSMC, UMC, GF, ASE &amp; UTAC?</w:t>
      </w:r>
    </w:p>
    <w:p>
      <w:pPr>
        <w:spacing w:after="0" w:line="64" w:lineRule="exact"/>
        <w:rPr>
          <w:rFonts w:ascii="Times New Roman" w:cs="Times New Roman" w:eastAsia="Times New Roman" w:hAnsi="Times New Roman"/>
          <w:sz w:val="18"/>
          <w:szCs w:val="18"/>
          <w:b w:val="1"/>
          <w:bCs w:val="1"/>
          <w:color w:val="auto"/>
        </w:rPr>
      </w:pPr>
    </w:p>
    <w:p>
      <w:pPr>
        <w:ind w:left="1420" w:hanging="331"/>
        <w:spacing w:after="0"/>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immediate impact to Silicon Labs’ relationships with our foundry partners.</w:t>
      </w:r>
    </w:p>
    <w:p>
      <w:pPr>
        <w:spacing w:after="0" w:line="130" w:lineRule="exact"/>
        <w:rPr>
          <w:rFonts w:ascii="Times New Roman" w:cs="Times New Roman" w:eastAsia="Times New Roman" w:hAnsi="Times New Roman"/>
          <w:sz w:val="18"/>
          <w:szCs w:val="18"/>
          <w:color w:val="auto"/>
        </w:rPr>
      </w:pPr>
    </w:p>
    <w:p>
      <w:pPr>
        <w:ind w:left="1420" w:right="140" w:hanging="331"/>
        <w:spacing w:after="0" w:line="282" w:lineRule="auto"/>
        <w:tabs>
          <w:tab w:leader="none" w:pos="14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it is business as usual, and there are no changes to how we work with suppliers or how partners should interact with us.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Use Only</w:t>
      </w:r>
    </w:p>
    <w:p>
      <w:pPr>
        <w:sectPr>
          <w:pgSz w:w="11900" w:h="16838" w:orient="portrait"/>
          <w:cols w:equalWidth="0" w:num="1">
            <w:col w:w="10980"/>
          </w:cols>
          <w:pgMar w:left="440" w:top="266" w:right="479" w:bottom="1440" w:gutter="0" w:footer="0" w:header="0"/>
        </w:sectPr>
      </w:pPr>
    </w:p>
    <w:bookmarkStart w:id="3" w:name="page4"/>
    <w:bookmarkEnd w:id="3"/>
    <w:p>
      <w:pPr>
        <w:ind w:left="1420" w:right="200" w:hanging="331"/>
        <w:spacing w:after="0" w:line="282"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will continue to honor all existing contractual agreements, and any future considerations will be addressed transparently at the appropriate time.</w:t>
      </w:r>
    </w:p>
    <w:p>
      <w:pPr>
        <w:spacing w:after="0" w:line="184"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this transaction reflect the value that the Silicon Labs team has built over time?</w:t>
      </w:r>
    </w:p>
    <w:p>
      <w:pPr>
        <w:spacing w:after="0" w:line="256" w:lineRule="exact"/>
        <w:rPr>
          <w:rFonts w:ascii="Times New Roman" w:cs="Times New Roman" w:eastAsia="Times New Roman" w:hAnsi="Times New Roman"/>
          <w:sz w:val="18"/>
          <w:szCs w:val="18"/>
          <w:b w:val="1"/>
          <w:bCs w:val="1"/>
          <w:color w:val="auto"/>
        </w:rPr>
      </w:pPr>
    </w:p>
    <w:p>
      <w:pPr>
        <w:ind w:left="1420" w:hanging="331"/>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reflects the value the Silicon Labs team—past and present—has built over many years.</w:t>
      </w:r>
    </w:p>
    <w:p>
      <w:pPr>
        <w:spacing w:after="0" w:line="252" w:lineRule="exact"/>
        <w:rPr>
          <w:rFonts w:ascii="Times New Roman" w:cs="Times New Roman" w:eastAsia="Times New Roman" w:hAnsi="Times New Roman"/>
          <w:sz w:val="18"/>
          <w:szCs w:val="18"/>
          <w:color w:val="auto"/>
        </w:rPr>
      </w:pPr>
    </w:p>
    <w:p>
      <w:pPr>
        <w:ind w:left="1420" w:right="240" w:hanging="331"/>
        <w:spacing w:after="0" w:line="282"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value comes from making disciplined decisions, acting with integrity, staying true to our strategy, and consistently punching above our weight in a competitive industry.</w:t>
      </w:r>
    </w:p>
    <w:p>
      <w:pPr>
        <w:spacing w:after="0" w:line="188"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speaks to the strength of our people and culture.</w:t>
      </w:r>
    </w:p>
    <w:p>
      <w:pPr>
        <w:spacing w:after="0" w:line="130"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this is something to be proud of, we also recognize it can feel bittersweet. Change at this scale is never easy, but what brought us here is very much within our control—and that’s a credit to this team.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Use Only</w:t>
      </w:r>
    </w:p>
    <w:p>
      <w:pPr>
        <w:sectPr>
          <w:pgSz w:w="11900" w:h="16838" w:orient="portrait"/>
          <w:cols w:equalWidth="0" w:num="1">
            <w:col w:w="10960"/>
          </w:cols>
          <w:pgMar w:left="440" w:top="270" w:right="49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color w:val="auto"/>
        </w:rPr>
        <w:t>In connection with the proposed transaction, Silicon Laboratories Inc. (“Silicon Labs”) plans to file a proxy statement with the Securities and Exchange Commission (the “SEC”) with respect to a special meeting of stockholders for purposes of obtaining stockholder approval of the proposed transaction. This communication is not a substitute for the proxy statement or any other document that Silicon Labs may file with the SEC. The definitive proxy statement (when available) will be sent or given to the stockholders of Silicon Labs and will contain important information about the proposed transaction and related matters.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www.sec.gov. Copies of the proxy statement (when available) and the filings that will be incorporated by reference therein may also be obtained, without charge, by contacting Silicon Labs’ Investor Relations at investor.relations@silabs.com or (512) 416-8500.</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color w:val="auto"/>
        </w:rPr>
        <w:t>Silicon Labs, Texas Instruments Incorporated (“Texas Instruments”) and their respective directors and executive officers may be deemed, under SEC rules, to be participants in the solicitation of proxies in respect of the proposed transaction. Information regarding Silicon Labs’ directors and executive officers is available in (a) Silicon Labs’ Annual Report on Form 10-K for the fiscal year ended December 28, 2024, including under the headings “Item</w:t>
      </w:r>
    </w:p>
    <w:p>
      <w:pPr>
        <w:spacing w:after="0" w:line="2" w:lineRule="exact"/>
        <w:rPr>
          <w:sz w:val="20"/>
          <w:szCs w:val="20"/>
          <w:color w:val="auto"/>
        </w:rPr>
      </w:pPr>
    </w:p>
    <w:p>
      <w:pPr>
        <w:ind w:left="4" w:hanging="4"/>
        <w:spacing w:after="0" w:line="268" w:lineRule="auto"/>
        <w:tabs>
          <w:tab w:leader="none" w:pos="27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Executive Officers and Corporate Governance,” “Item 11. Executive Compensation,” “Item 12. Security Ownership of Certain Beneficial Owners and Management and Related Stockholder Matters” and “Item 13. Certain Relationships, Related Transactions, and Director Independence,” which was filed with the SEC on February 4, 2025, and can be found at www.sec.gov;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www.sec.gov; and (c) subsequently filed Current Reports on Form 8-K and Quarterly Reports on Form 10-Q. To the extent holdings of Silicon Labs’ securities by its directors or executive officers have changed since the amounts set forth in Silicon Labs’ proxy statement for its 2025 annual meeting of stockholders, such changes have been or will be reflected on Forms 3, 4 and 5, filed with the SEC (which can be found at www.sec.gov). Copies of the documents filed with the SEC by Silicon Labs will be available free of charge through the website maintained by the SEC and at Silicon Labs’ website at https://investor.silabs.com/.</w:t>
      </w:r>
    </w:p>
    <w:p>
      <w:pPr>
        <w:sectPr>
          <w:pgSz w:w="11900" w:h="16838" w:orient="portrait"/>
          <w:cols w:equalWidth="0" w:num="1">
            <w:col w:w="10944"/>
          </w:cols>
          <w:pgMar w:left="436" w:top="266" w:right="51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regarding Texas Instruments’ directors and executive officers is available in (a) 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www.sec.gov; (b) Texas Instruments’ definitive proxy statement for its 2025 annual meeting of stockholders, which was filed with the SEC on March 5, 2025, under the headings “Election of directors,” “Executive compensation,” and “Security ownership of directors and management,” and can be found at www.sec.gov;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www.sec.gov). Copies of the documents filed with the SEC by Texas Instruments will be available free of charge through the website maintained by the SEC at www.sec.gov and at Texas Instruments’ website at https://investor.ti.com/.</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Rule 175 promulgated thereunder, Section 21E of the Securities Exchange Act of 1934, as amended, and Rule 3b-6 promulgated thereunder. Such statements include statements concerning anticipated future events and expectations that are not historical facts. Any statements about Texas Instruments’ or Silicon Labs’ plans, objectives, expectations, strategies, beliefs, or future performance or events constitute forward-looking</w:t>
      </w:r>
    </w:p>
    <w:p>
      <w:pPr>
        <w:sectPr>
          <w:pgSz w:w="11900" w:h="16838" w:orient="portrait"/>
          <w:cols w:equalWidth="0" w:num="1">
            <w:col w:w="11000"/>
          </w:cols>
          <w:pgMar w:left="440" w:top="270" w:right="459" w:bottom="1440" w:gutter="0" w:footer="0" w:header="0"/>
        </w:sectPr>
      </w:pPr>
    </w:p>
    <w:bookmarkStart w:id="6" w:name="page7"/>
    <w:bookmarkEnd w:id="6"/>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(a) risks related to the consummation of the proposed transaction, including the risks that (i) the proposed transaction may not be consummated within the anticipated time period, or at all, (ii) the parties may fail to obtain Silicon Labs stockholder approval of the merger agreement, (iii) the parties may fail to secure the termination or expiration of any waiting period applicable under the Hart-Scott-Rodino Antitrust Improvements Act of 1976, as amended, or obtain other required governmental and regulatory approvals, and (iv) other conditions to the consummation of the proposed transaction under the merger agreement may not be satisfied;</w:t>
      </w:r>
    </w:p>
    <w:p>
      <w:pPr>
        <w:spacing w:after="0" w:line="4" w:lineRule="exact"/>
        <w:rPr>
          <w:sz w:val="20"/>
          <w:szCs w:val="20"/>
          <w:color w:val="auto"/>
        </w:rPr>
      </w:pPr>
    </w:p>
    <w:p>
      <w:pPr>
        <w:ind w:left="4" w:hanging="4"/>
        <w:spacing w:after="0" w:line="265" w:lineRule="auto"/>
        <w:tabs>
          <w:tab w:leader="none" w:pos="25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that any termination of the merger agreement may have on Silicon Labs or Texas Instruments and their respective businesses, including the risk that Silicon Labs’ or Texas Instruments’ stock price may decline significantly if the proposed transaction is not completed; (c) the effects that the announcement or pendency of the proposed transaction may have on Silicon Labs or Texas Instruments and their respective businesses, including the risks that as a result (i) Silicon Labs’ or Texas Instruments’ business, operating results or stock price may suffer, (ii) Silicon Labs’ or Texas Instruments’ current plans and operations may be disrupted, (iii) Silicon Labs’ or Texas Instruments’ ability to retain or recruit key employees may be adversely affected, (iv) Silicon Labs’ or Texas Instruments’ business relationships (including, customers and suppliers) may be adversely affected, or (v) Silicon Labs’ or Texas Instruments’ management’s or employees’ attention may be diverted from other important matters; (d) the effect of limitations that the merger agreement places on Silicon Labs’ ability to operate its business, return capital to stockholders or engage in alternative transactions; (e) the nature, cost and outcome of pending and future litigation and other legal proceedings, including any such proceedings related to the proposed transaction and instituted against Silicon Labs and others; (f) the risk that the proposed transaction and related transactions may involve unexpected costs, liabilities or delays; (g) other economic, business, competitive, legal, regulatory, and/or tax factors, including the impact of the current global memory chip shortage; and (h) other factors described in the reports of (i) Silicon Labs filed with the SEC, including but not limited to the risks described in Silicon Labs’ Annual Report on Form 10-K for its fiscal year ended December 28, 2024, which was filed with the SEC on February 4, 2025, and Silicon Labs’ Quarterly Reports on Form 10-Q, and that are otherwise described or updated from time to time in Silicon Labs’ other filings with the SEC and</w:t>
      </w:r>
    </w:p>
    <w:p>
      <w:pPr>
        <w:spacing w:after="0" w:line="2" w:lineRule="exact"/>
        <w:rPr>
          <w:rFonts w:ascii="Times New Roman" w:cs="Times New Roman" w:eastAsia="Times New Roman" w:hAnsi="Times New Roman"/>
          <w:sz w:val="17"/>
          <w:szCs w:val="17"/>
          <w:color w:val="auto"/>
        </w:rPr>
      </w:pPr>
    </w:p>
    <w:p>
      <w:pPr>
        <w:ind w:left="4" w:right="280" w:hanging="4"/>
        <w:spacing w:after="0" w:line="255" w:lineRule="auto"/>
        <w:tabs>
          <w:tab w:leader="none" w:pos="2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w:t>
      </w:r>
    </w:p>
    <w:p>
      <w:pPr>
        <w:sectPr>
          <w:pgSz w:w="11900" w:h="16838" w:orient="portrait"/>
          <w:cols w:equalWidth="0" w:num="1">
            <w:col w:w="11004"/>
          </w:cols>
          <w:pgMar w:left="436" w:top="270" w:right="459" w:bottom="1440" w:gutter="0" w:footer="0" w:header="0"/>
        </w:sectPr>
      </w:pPr>
    </w:p>
    <w:bookmarkStart w:id="7" w:name="page8"/>
    <w:bookmarkEnd w:id="7"/>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forward-looking statements attributable to Silicon Labs or Texas Instruments, or persons acting on Silicon Labs’ or Texas Instruments’ behalf, are expressly qualified in their entirety by this cautionary statement. Further, each of Silicon Labs and Texas Instruments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lvl w:ilvl="1">
      <w:lvlJc w:val="left"/>
      <w:lvlText w:val="•"/>
      <w:numFmt w:val="bullet"/>
      <w:start w:val="1"/>
    </w:lvl>
  </w:abstractNum>
  <w:abstractNum w:abstractNumId="5">
    <w:nsid w:val="7545E146"/>
    <w:multiLevelType w:val="hybridMultilevel"/>
    <w:lvl w:ilvl="0">
      <w:lvlJc w:val="left"/>
      <w:lvlText w:val="%1."/>
      <w:numFmt w:val="decimal"/>
      <w:start w:val="5"/>
    </w:lvl>
    <w:lvl w:ilvl="1">
      <w:lvlJc w:val="left"/>
      <w:lvlText w:val="•"/>
      <w:numFmt w:val="bullet"/>
      <w:start w:val="1"/>
    </w:lvl>
  </w:abstractNum>
  <w:abstractNum w:abstractNumId="6">
    <w:nsid w:val="515F007C"/>
    <w:multiLevelType w:val="hybridMultilevel"/>
    <w:lvl w:ilvl="0">
      <w:lvlJc w:val="left"/>
      <w:lvlText w:val="%1."/>
      <w:numFmt w:val="decimal"/>
      <w:start w:val="10"/>
    </w:lvl>
    <w:lvl w:ilvl="1">
      <w:lvlJc w:val="left"/>
      <w:lvlText w:val="•"/>
      <w:numFmt w:val="bullet"/>
      <w:start w:val="1"/>
    </w:lvl>
  </w:abstractNum>
  <w:abstractNum w:abstractNumId="7">
    <w:nsid w:val="5BD062C2"/>
    <w:multiLevelType w:val="hybridMultilevel"/>
    <w:lvl w:ilvl="0">
      <w:lvlJc w:val="left"/>
      <w:lvlText w:val="%1."/>
      <w:numFmt w:val="decimal"/>
      <w:start w:val="10"/>
    </w:lvl>
  </w:abstractNum>
  <w:abstractNum w:abstractNumId="8">
    <w:nsid w:val="12200854"/>
    <w:multiLevelType w:val="hybridMultilevel"/>
    <w:lvl w:ilvl="0">
      <w:lvlJc w:val="left"/>
      <w:lvlText w:val="(%1)"/>
      <w:numFmt w:val="lowerLetter"/>
      <w:start w:val="2"/>
    </w:lvl>
  </w:abstractNum>
  <w:abstractNum w:abstractNumId="9">
    <w:nsid w:val="4DB127F8"/>
    <w:multiLevelType w:val="hybridMultilevel"/>
    <w:lvl w:ilvl="0">
      <w:lvlJc w:val="left"/>
      <w:lvlText w:val="(%1)"/>
      <w:numFmt w:val="low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2026-02-06T17:00:54Z</dcterms:created>
  <dcterms:modified xsi:type="dcterms:W3CDTF">2026-02-06T17:00:54Z</dcterms:modified>
</cp:coreProperties>
</file>