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51">
        <w:r>
          <w:rPr>
            <w:rFonts w:ascii="Arial" w:cs="Arial" w:eastAsia="Arial" w:hAnsi="Arial"/>
            <w:sz w:val="22"/>
            <w:szCs w:val="22"/>
            <w:u w:val="single" w:color="auto"/>
            <w:color w:val="0000EE"/>
          </w:rPr>
          <w:t>Part IV</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(Mark</w:t>
      </w:r>
    </w:p>
    <w:p>
      <w:pPr>
        <w:spacing w:after="0" w:line="21"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One)</w:t>
      </w:r>
    </w:p>
    <w:p>
      <w:pPr>
        <w:spacing w:after="0" w:line="227" w:lineRule="exact"/>
        <w:rPr>
          <w:sz w:val="24"/>
          <w:szCs w:val="24"/>
          <w:color w:val="auto"/>
        </w:rPr>
      </w:pPr>
    </w:p>
    <w:p>
      <w:pPr>
        <w:ind w:left="1020" w:right="640" w:hanging="681"/>
        <w:spacing w:after="0" w:line="256" w:lineRule="auto"/>
        <w:tabs>
          <w:tab w:leader="none" w:pos="10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January 1, 2011</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020" w:right="200" w:hanging="641"/>
        <w:spacing w:after="0" w:line="256" w:lineRule="auto"/>
        <w:tabs>
          <w:tab w:leader="none" w:pos="10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40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000-29823</w:t>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SILICON LABORATORIES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2760" w:type="dxa"/>
        <w:tblCellMar>
          <w:top w:w="0" w:type="dxa"/>
          <w:left w:w="0" w:type="dxa"/>
          <w:bottom w:w="0" w:type="dxa"/>
          <w:right w:w="0" w:type="dxa"/>
        </w:tblCellMar>
      </w:tblPr>
      <w:tr>
        <w:trPr>
          <w:trHeight w:val="222"/>
        </w:trPr>
        <w:tc>
          <w:tcPr>
            <w:tcW w:w="3320" w:type="dxa"/>
            <w:vAlign w:val="bottom"/>
          </w:tcPr>
          <w:p>
            <w:pPr>
              <w:jc w:val="center"/>
              <w:ind w:right="432"/>
              <w:spacing w:after="0"/>
              <w:rPr>
                <w:sz w:val="20"/>
                <w:szCs w:val="20"/>
                <w:color w:val="auto"/>
              </w:rPr>
            </w:pPr>
            <w:r>
              <w:rPr>
                <w:rFonts w:ascii="Arial" w:cs="Arial" w:eastAsia="Arial" w:hAnsi="Arial"/>
                <w:sz w:val="18"/>
                <w:szCs w:val="18"/>
                <w:b w:val="1"/>
                <w:bCs w:val="1"/>
                <w:color w:val="auto"/>
                <w:w w:val="91"/>
              </w:rPr>
              <w:t>Delaware</w:t>
            </w:r>
          </w:p>
        </w:tc>
        <w:tc>
          <w:tcPr>
            <w:tcW w:w="1840" w:type="dxa"/>
            <w:vAlign w:val="bottom"/>
          </w:tcPr>
          <w:p>
            <w:pPr>
              <w:jc w:val="right"/>
              <w:ind w:right="132"/>
              <w:spacing w:after="0"/>
              <w:rPr>
                <w:sz w:val="20"/>
                <w:szCs w:val="20"/>
                <w:color w:val="auto"/>
              </w:rPr>
            </w:pPr>
            <w:r>
              <w:rPr>
                <w:rFonts w:ascii="Arial" w:cs="Arial" w:eastAsia="Arial" w:hAnsi="Arial"/>
                <w:sz w:val="18"/>
                <w:szCs w:val="18"/>
                <w:b w:val="1"/>
                <w:bCs w:val="1"/>
                <w:color w:val="auto"/>
              </w:rPr>
              <w:t>74-2793174</w:t>
            </w:r>
          </w:p>
        </w:tc>
      </w:tr>
      <w:tr>
        <w:trPr>
          <w:trHeight w:val="216"/>
        </w:trPr>
        <w:tc>
          <w:tcPr>
            <w:tcW w:w="3320" w:type="dxa"/>
            <w:vAlign w:val="bottom"/>
          </w:tcPr>
          <w:p>
            <w:pPr>
              <w:jc w:val="center"/>
              <w:ind w:right="432"/>
              <w:spacing w:after="0"/>
              <w:rPr>
                <w:sz w:val="20"/>
                <w:szCs w:val="20"/>
                <w:color w:val="auto"/>
              </w:rPr>
            </w:pPr>
            <w:r>
              <w:rPr>
                <w:rFonts w:ascii="Arial" w:cs="Arial" w:eastAsia="Arial" w:hAnsi="Arial"/>
                <w:sz w:val="18"/>
                <w:szCs w:val="18"/>
                <w:color w:val="auto"/>
                <w:w w:val="90"/>
              </w:rPr>
              <w:t>(State or other jurisdiction of</w:t>
            </w:r>
          </w:p>
        </w:tc>
        <w:tc>
          <w:tcPr>
            <w:tcW w:w="1840" w:type="dxa"/>
            <w:vAlign w:val="bottom"/>
          </w:tcPr>
          <w:p>
            <w:pPr>
              <w:jc w:val="center"/>
              <w:ind w:left="432"/>
              <w:spacing w:after="0"/>
              <w:rPr>
                <w:sz w:val="20"/>
                <w:szCs w:val="20"/>
                <w:color w:val="auto"/>
              </w:rPr>
            </w:pPr>
            <w:r>
              <w:rPr>
                <w:rFonts w:ascii="Arial" w:cs="Arial" w:eastAsia="Arial" w:hAnsi="Arial"/>
                <w:sz w:val="18"/>
                <w:szCs w:val="18"/>
                <w:color w:val="auto"/>
                <w:w w:val="90"/>
              </w:rPr>
              <w:t>(I.R.S. Employer</w:t>
            </w:r>
          </w:p>
        </w:tc>
      </w:tr>
      <w:tr>
        <w:trPr>
          <w:trHeight w:val="222"/>
        </w:trPr>
        <w:tc>
          <w:tcPr>
            <w:tcW w:w="3320" w:type="dxa"/>
            <w:vAlign w:val="bottom"/>
          </w:tcPr>
          <w:p>
            <w:pPr>
              <w:jc w:val="center"/>
              <w:ind w:right="432"/>
              <w:spacing w:after="0"/>
              <w:rPr>
                <w:sz w:val="20"/>
                <w:szCs w:val="20"/>
                <w:color w:val="auto"/>
              </w:rPr>
            </w:pPr>
            <w:r>
              <w:rPr>
                <w:rFonts w:ascii="Arial" w:cs="Arial" w:eastAsia="Arial" w:hAnsi="Arial"/>
                <w:sz w:val="18"/>
                <w:szCs w:val="18"/>
                <w:color w:val="auto"/>
                <w:w w:val="90"/>
              </w:rPr>
              <w:t>incorporation or organization)</w:t>
            </w:r>
          </w:p>
        </w:tc>
        <w:tc>
          <w:tcPr>
            <w:tcW w:w="1840" w:type="dxa"/>
            <w:vAlign w:val="bottom"/>
          </w:tcPr>
          <w:p>
            <w:pPr>
              <w:jc w:val="center"/>
              <w:ind w:left="452"/>
              <w:spacing w:after="0"/>
              <w:rPr>
                <w:sz w:val="20"/>
                <w:szCs w:val="20"/>
                <w:color w:val="auto"/>
              </w:rPr>
            </w:pPr>
            <w:r>
              <w:rPr>
                <w:rFonts w:ascii="Arial" w:cs="Arial" w:eastAsia="Arial" w:hAnsi="Arial"/>
                <w:sz w:val="18"/>
                <w:szCs w:val="18"/>
                <w:color w:val="auto"/>
                <w:w w:val="92"/>
              </w:rPr>
              <w:t>Identification No.)</w:t>
            </w:r>
          </w:p>
        </w:tc>
      </w:tr>
      <w:tr>
        <w:trPr>
          <w:trHeight w:val="447"/>
        </w:trPr>
        <w:tc>
          <w:tcPr>
            <w:tcW w:w="3320" w:type="dxa"/>
            <w:vAlign w:val="bottom"/>
          </w:tcPr>
          <w:p>
            <w:pPr>
              <w:jc w:val="center"/>
              <w:ind w:right="432"/>
              <w:spacing w:after="0"/>
              <w:rPr>
                <w:sz w:val="20"/>
                <w:szCs w:val="20"/>
                <w:color w:val="auto"/>
              </w:rPr>
            </w:pPr>
            <w:r>
              <w:rPr>
                <w:rFonts w:ascii="Arial" w:cs="Arial" w:eastAsia="Arial" w:hAnsi="Arial"/>
                <w:sz w:val="18"/>
                <w:szCs w:val="18"/>
                <w:b w:val="1"/>
                <w:bCs w:val="1"/>
                <w:color w:val="auto"/>
                <w:w w:val="88"/>
              </w:rPr>
              <w:t>400 West Cesar Chavez, Austin,</w:t>
            </w:r>
          </w:p>
        </w:tc>
        <w:tc>
          <w:tcPr>
            <w:tcW w:w="1840" w:type="dxa"/>
            <w:vAlign w:val="bottom"/>
          </w:tcPr>
          <w:p>
            <w:pPr>
              <w:jc w:val="right"/>
              <w:ind w:right="352"/>
              <w:spacing w:after="0"/>
              <w:rPr>
                <w:sz w:val="20"/>
                <w:szCs w:val="20"/>
                <w:color w:val="auto"/>
              </w:rPr>
            </w:pPr>
            <w:r>
              <w:rPr>
                <w:rFonts w:ascii="Arial" w:cs="Arial" w:eastAsia="Arial" w:hAnsi="Arial"/>
                <w:sz w:val="18"/>
                <w:szCs w:val="18"/>
                <w:b w:val="1"/>
                <w:bCs w:val="1"/>
                <w:color w:val="auto"/>
              </w:rPr>
              <w:t>78701</w:t>
            </w:r>
          </w:p>
        </w:tc>
      </w:tr>
      <w:tr>
        <w:trPr>
          <w:trHeight w:val="222"/>
        </w:trPr>
        <w:tc>
          <w:tcPr>
            <w:tcW w:w="3320" w:type="dxa"/>
            <w:vAlign w:val="bottom"/>
          </w:tcPr>
          <w:p>
            <w:pPr>
              <w:jc w:val="center"/>
              <w:ind w:right="432"/>
              <w:spacing w:after="0"/>
              <w:rPr>
                <w:sz w:val="20"/>
                <w:szCs w:val="20"/>
                <w:color w:val="auto"/>
              </w:rPr>
            </w:pPr>
            <w:r>
              <w:rPr>
                <w:rFonts w:ascii="Arial" w:cs="Arial" w:eastAsia="Arial" w:hAnsi="Arial"/>
                <w:sz w:val="18"/>
                <w:szCs w:val="18"/>
                <w:b w:val="1"/>
                <w:bCs w:val="1"/>
                <w:color w:val="auto"/>
                <w:w w:val="86"/>
              </w:rPr>
              <w:t>Texas</w:t>
            </w:r>
          </w:p>
        </w:tc>
        <w:tc>
          <w:tcPr>
            <w:tcW w:w="1840" w:type="dxa"/>
            <w:vAlign w:val="bottom"/>
          </w:tcPr>
          <w:p>
            <w:pPr>
              <w:jc w:val="center"/>
              <w:ind w:left="452"/>
              <w:spacing w:after="0"/>
              <w:rPr>
                <w:sz w:val="20"/>
                <w:szCs w:val="20"/>
                <w:color w:val="auto"/>
              </w:rPr>
            </w:pPr>
            <w:r>
              <w:rPr>
                <w:rFonts w:ascii="Arial" w:cs="Arial" w:eastAsia="Arial" w:hAnsi="Arial"/>
                <w:sz w:val="18"/>
                <w:szCs w:val="18"/>
                <w:color w:val="auto"/>
                <w:w w:val="91"/>
              </w:rPr>
              <w:t>(Zip Code)</w:t>
            </w:r>
          </w:p>
        </w:tc>
      </w:tr>
      <w:tr>
        <w:trPr>
          <w:trHeight w:val="222"/>
        </w:trPr>
        <w:tc>
          <w:tcPr>
            <w:tcW w:w="3320" w:type="dxa"/>
            <w:vAlign w:val="bottom"/>
          </w:tcPr>
          <w:p>
            <w:pPr>
              <w:jc w:val="center"/>
              <w:ind w:right="432"/>
              <w:spacing w:after="0"/>
              <w:rPr>
                <w:sz w:val="20"/>
                <w:szCs w:val="20"/>
                <w:color w:val="auto"/>
              </w:rPr>
            </w:pPr>
            <w:r>
              <w:rPr>
                <w:rFonts w:ascii="Arial" w:cs="Arial" w:eastAsia="Arial" w:hAnsi="Arial"/>
                <w:sz w:val="18"/>
                <w:szCs w:val="18"/>
                <w:color w:val="auto"/>
                <w:w w:val="90"/>
              </w:rPr>
              <w:t>(Address of principal executive offices)</w:t>
            </w:r>
          </w:p>
        </w:tc>
        <w:tc>
          <w:tcPr>
            <w:tcW w:w="1840" w:type="dxa"/>
            <w:vAlign w:val="bottom"/>
          </w:tcPr>
          <w:p>
            <w:pPr>
              <w:spacing w:after="0"/>
              <w:rPr>
                <w:sz w:val="19"/>
                <w:szCs w:val="19"/>
                <w:color w:val="auto"/>
              </w:rPr>
            </w:pPr>
          </w:p>
        </w:tc>
      </w:tr>
    </w:tbl>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(512) 416-8500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40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1100" w:type="dxa"/>
            <w:vAlign w:val="bottom"/>
          </w:tcPr>
          <w:p>
            <w:pPr>
              <w:spacing w:after="0"/>
              <w:rPr>
                <w:sz w:val="14"/>
                <w:szCs w:val="14"/>
                <w:color w:val="auto"/>
              </w:rPr>
            </w:pPr>
          </w:p>
        </w:tc>
        <w:tc>
          <w:tcPr>
            <w:tcW w:w="30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Name of exchange on which registered</w:t>
            </w:r>
          </w:p>
        </w:tc>
        <w:tc>
          <w:tcPr>
            <w:tcW w:w="560" w:type="dxa"/>
            <w:vAlign w:val="bottom"/>
          </w:tcPr>
          <w:p>
            <w:pPr>
              <w:spacing w:after="0"/>
              <w:rPr>
                <w:sz w:val="14"/>
                <w:szCs w:val="14"/>
                <w:color w:val="auto"/>
              </w:rPr>
            </w:pPr>
          </w:p>
        </w:tc>
      </w:tr>
      <w:tr>
        <w:trPr>
          <w:trHeight w:val="201"/>
        </w:trPr>
        <w:tc>
          <w:tcPr>
            <w:tcW w:w="2320" w:type="dxa"/>
            <w:vAlign w:val="bottom"/>
          </w:tcPr>
          <w:p>
            <w:pPr>
              <w:spacing w:after="0"/>
              <w:rPr>
                <w:sz w:val="17"/>
                <w:szCs w:val="17"/>
                <w:color w:val="auto"/>
              </w:rPr>
            </w:pPr>
          </w:p>
        </w:tc>
        <w:tc>
          <w:tcPr>
            <w:tcW w:w="24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Common Stock, $0.0001 par</w:t>
            </w:r>
          </w:p>
        </w:tc>
        <w:tc>
          <w:tcPr>
            <w:tcW w:w="1100" w:type="dxa"/>
            <w:vAlign w:val="bottom"/>
          </w:tcPr>
          <w:p>
            <w:pPr>
              <w:spacing w:after="0"/>
              <w:rPr>
                <w:sz w:val="17"/>
                <w:szCs w:val="17"/>
                <w:color w:val="auto"/>
              </w:rPr>
            </w:pPr>
          </w:p>
        </w:tc>
        <w:tc>
          <w:tcPr>
            <w:tcW w:w="244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22"/>
        </w:trPr>
        <w:tc>
          <w:tcPr>
            <w:tcW w:w="232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value</w:t>
            </w:r>
          </w:p>
        </w:tc>
        <w:tc>
          <w:tcPr>
            <w:tcW w:w="1100" w:type="dxa"/>
            <w:vAlign w:val="bottom"/>
          </w:tcPr>
          <w:p>
            <w:pPr>
              <w:spacing w:after="0"/>
              <w:rPr>
                <w:sz w:val="19"/>
                <w:szCs w:val="19"/>
                <w:color w:val="auto"/>
              </w:rPr>
            </w:pPr>
          </w:p>
        </w:tc>
        <w:tc>
          <w:tcPr>
            <w:tcW w:w="3000" w:type="dxa"/>
            <w:vAlign w:val="bottom"/>
            <w:gridSpan w:val="2"/>
          </w:tcPr>
          <w:p>
            <w:pPr>
              <w:jc w:val="center"/>
              <w:ind w:right="540"/>
              <w:spacing w:after="0"/>
              <w:rPr>
                <w:sz w:val="20"/>
                <w:szCs w:val="20"/>
                <w:color w:val="auto"/>
              </w:rPr>
            </w:pPr>
            <w:r>
              <w:rPr>
                <w:rFonts w:ascii="Arial" w:cs="Arial" w:eastAsia="Arial" w:hAnsi="Arial"/>
                <w:sz w:val="18"/>
                <w:szCs w:val="18"/>
                <w:color w:val="auto"/>
                <w:w w:val="93"/>
              </w:rPr>
              <w:t>The NASDAQ Stock Market LLC</w:t>
            </w:r>
          </w:p>
        </w:tc>
        <w:tc>
          <w:tcPr>
            <w:tcW w:w="560" w:type="dxa"/>
            <w:vAlign w:val="bottom"/>
          </w:tcPr>
          <w:p>
            <w:pPr>
              <w:spacing w:after="0"/>
              <w:rPr>
                <w:sz w:val="19"/>
                <w:szCs w:val="19"/>
                <w:color w:val="auto"/>
              </w:rPr>
            </w:pPr>
          </w:p>
        </w:tc>
      </w:tr>
      <w:tr>
        <w:trPr>
          <w:trHeight w:val="432"/>
        </w:trPr>
        <w:tc>
          <w:tcPr>
            <w:tcW w:w="2320" w:type="dxa"/>
            <w:vAlign w:val="bottom"/>
          </w:tcPr>
          <w:p>
            <w:pPr>
              <w:spacing w:after="0"/>
              <w:rPr>
                <w:sz w:val="24"/>
                <w:szCs w:val="24"/>
                <w:color w:val="auto"/>
              </w:rPr>
            </w:pPr>
          </w:p>
        </w:tc>
        <w:tc>
          <w:tcPr>
            <w:tcW w:w="6540" w:type="dxa"/>
            <w:vAlign w:val="bottom"/>
            <w:gridSpan w:val="4"/>
          </w:tcPr>
          <w:p>
            <w:pPr>
              <w:ind w:left="76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560" w:type="dxa"/>
            <w:vAlign w:val="bottom"/>
          </w:tcPr>
          <w:p>
            <w:pPr>
              <w:spacing w:after="0"/>
              <w:rPr>
                <w:sz w:val="24"/>
                <w:szCs w:val="24"/>
                <w:color w:val="auto"/>
              </w:rPr>
            </w:pPr>
          </w:p>
        </w:tc>
      </w:tr>
      <w:tr>
        <w:trPr>
          <w:trHeight w:val="452"/>
        </w:trPr>
        <w:tc>
          <w:tcPr>
            <w:tcW w:w="8860" w:type="dxa"/>
            <w:vAlign w:val="bottom"/>
            <w:gridSpan w:val="5"/>
          </w:tcPr>
          <w:p>
            <w:pPr>
              <w:spacing w:after="0" w:line="207" w:lineRule="exact"/>
              <w:rPr>
                <w:sz w:val="20"/>
                <w:szCs w:val="20"/>
                <w:color w:val="auto"/>
              </w:rPr>
            </w:pPr>
            <w:r>
              <w:rPr>
                <w:rFonts w:ascii="Arial" w:cs="Arial" w:eastAsia="Arial" w:hAnsi="Arial"/>
                <w:sz w:val="18"/>
                <w:szCs w:val="18"/>
                <w:color w:val="auto"/>
                <w:w w:val="89"/>
              </w:rPr>
              <w:t xml:space="preserve">Indicate by check mark if the registrant is a well-known seasoned issuer, as defined in Rule 405 of the Securities Act. </w:t>
            </w:r>
            <w:r>
              <w:rPr>
                <w:rFonts w:ascii="MS PGothic" w:cs="MS PGothic" w:eastAsia="MS PGothic" w:hAnsi="MS PGothic"/>
                <w:sz w:val="18"/>
                <w:szCs w:val="18"/>
                <w:color w:val="auto"/>
                <w:w w:val="89"/>
              </w:rPr>
              <w:t>☒</w:t>
            </w:r>
            <w:r>
              <w:rPr>
                <w:rFonts w:ascii="Arial" w:cs="Arial" w:eastAsia="Arial" w:hAnsi="Arial"/>
                <w:sz w:val="18"/>
                <w:szCs w:val="18"/>
                <w:color w:val="auto"/>
                <w:w w:val="89"/>
              </w:rPr>
              <w:t xml:space="preserve"> Yes</w:t>
            </w:r>
          </w:p>
        </w:tc>
        <w:tc>
          <w:tcPr>
            <w:tcW w:w="560" w:type="dxa"/>
            <w:vAlign w:val="bottom"/>
          </w:tcPr>
          <w:p>
            <w:pPr>
              <w:ind w:left="40"/>
              <w:spacing w:after="0"/>
              <w:rPr>
                <w:sz w:val="20"/>
                <w:szCs w:val="20"/>
                <w:color w:val="auto"/>
              </w:rPr>
            </w:pPr>
            <w:r>
              <w:rPr>
                <w:rFonts w:ascii="Arial" w:cs="Arial" w:eastAsia="Arial" w:hAnsi="Arial"/>
                <w:sz w:val="18"/>
                <w:szCs w:val="18"/>
                <w:color w:val="auto"/>
              </w:rPr>
              <w:t>o No</w:t>
            </w:r>
          </w:p>
        </w:tc>
      </w:tr>
      <w:tr>
        <w:trPr>
          <w:trHeight w:val="432"/>
        </w:trPr>
        <w:tc>
          <w:tcPr>
            <w:tcW w:w="8860" w:type="dxa"/>
            <w:vAlign w:val="bottom"/>
            <w:gridSpan w:val="5"/>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 o Yes</w:t>
            </w:r>
          </w:p>
        </w:tc>
        <w:tc>
          <w:tcPr>
            <w:tcW w:w="560" w:type="dxa"/>
            <w:vAlign w:val="bottom"/>
          </w:tcPr>
          <w:p>
            <w:pPr>
              <w:ind w:left="140"/>
              <w:spacing w:after="0" w:line="207" w:lineRule="exact"/>
              <w:rPr>
                <w:sz w:val="20"/>
                <w:szCs w:val="20"/>
                <w:color w:val="auto"/>
              </w:rPr>
            </w:pPr>
            <w:r>
              <w:rPr>
                <w:rFonts w:ascii="MS PGothic" w:cs="MS PGothic" w:eastAsia="MS PGothic" w:hAnsi="MS PGothic"/>
                <w:sz w:val="18"/>
                <w:szCs w:val="18"/>
                <w:color w:val="auto"/>
                <w:w w:val="86"/>
              </w:rPr>
              <w:t>☒</w:t>
            </w:r>
            <w:r>
              <w:rPr>
                <w:rFonts w:ascii="Arial" w:cs="Arial" w:eastAsia="Arial" w:hAnsi="Arial"/>
                <w:sz w:val="18"/>
                <w:szCs w:val="18"/>
                <w:color w:val="auto"/>
                <w:w w:val="86"/>
              </w:rPr>
              <w:t xml:space="preserve"> No</w:t>
            </w:r>
          </w:p>
        </w:tc>
      </w:tr>
    </w:tbl>
    <w:p>
      <w:pPr>
        <w:spacing w:after="0" w:line="190" w:lineRule="exact"/>
        <w:rPr>
          <w:sz w:val="24"/>
          <w:szCs w:val="24"/>
          <w:color w:val="auto"/>
        </w:rPr>
      </w:pPr>
    </w:p>
    <w:p>
      <w:pPr>
        <w:ind w:right="24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192" w:lineRule="exact"/>
        <w:rPr>
          <w:sz w:val="24"/>
          <w:szCs w:val="24"/>
          <w:color w:val="auto"/>
        </w:rPr>
      </w:pPr>
    </w:p>
    <w:p>
      <w:pPr>
        <w:jc w:val="both"/>
        <w:ind w:right="6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192" w:lineRule="exact"/>
        <w:rPr>
          <w:sz w:val="24"/>
          <w:szCs w:val="24"/>
          <w:color w:val="auto"/>
        </w:rPr>
      </w:pPr>
    </w:p>
    <w:p>
      <w:pPr>
        <w:jc w:val="both"/>
        <w:ind w:firstLine="395"/>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ectPr>
          <w:pgSz w:w="11900" w:h="16838" w:orient="portrait"/>
          <w:cols w:equalWidth="0" w:num="1">
            <w:col w:w="11380"/>
          </w:cols>
          <w:pgMar w:left="240" w:top="685" w:right="279" w:bottom="114" w:gutter="0" w:footer="0" w:header="0"/>
        </w:sectPr>
      </w:pPr>
    </w:p>
    <w:bookmarkStart w:id="1" w:name="page2"/>
    <w:bookmarkEnd w:id="1"/>
    <w:p>
      <w:pPr>
        <w:ind w:firstLine="395"/>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131" w:right="259" w:bottom="1440" w:gutter="0" w:footer="0" w:header="0"/>
        </w:sectPr>
      </w:pPr>
    </w:p>
    <w:p>
      <w:pPr>
        <w:spacing w:after="0" w:line="107" w:lineRule="exact"/>
        <w:rPr>
          <w:sz w:val="20"/>
          <w:szCs w:val="20"/>
          <w:color w:val="auto"/>
        </w:rPr>
      </w:pPr>
    </w:p>
    <w:p>
      <w:pPr>
        <w:ind w:left="30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right="680"/>
        <w:spacing w:after="0"/>
        <w:rPr>
          <w:sz w:val="20"/>
          <w:szCs w:val="20"/>
          <w:color w:val="auto"/>
        </w:rPr>
      </w:pPr>
      <w:r>
        <w:rPr>
          <w:rFonts w:ascii="Arial" w:cs="Arial" w:eastAsia="Arial" w:hAnsi="Arial"/>
          <w:sz w:val="16"/>
          <w:szCs w:val="16"/>
          <w:color w:val="auto"/>
        </w:rPr>
        <w:t>Non-accelerated filer o</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0"/>
          <w:szCs w:val="20"/>
          <w:color w:val="auto"/>
        </w:rPr>
      </w:pPr>
    </w:p>
    <w:p>
      <w:pPr>
        <w:sectPr>
          <w:pgSz w:w="11900" w:h="16838" w:orient="portrait"/>
          <w:cols w:equalWidth="0" w:num="4">
            <w:col w:w="2680" w:space="720"/>
            <w:col w:w="1880" w:space="720"/>
            <w:col w:w="2300" w:space="720"/>
            <w:col w:w="2380"/>
          </w:cols>
          <w:pgMar w:left="240" w:top="131" w:right="259" w:bottom="1440" w:gutter="0" w:footer="0" w:header="0"/>
          <w:type w:val="continuous"/>
        </w:sectPr>
      </w:pPr>
    </w:p>
    <w:p>
      <w:pPr>
        <w:spacing w:after="0" w:line="4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o Yes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No</w:t>
      </w:r>
    </w:p>
    <w:p>
      <w:pPr>
        <w:spacing w:after="0" w:line="200" w:lineRule="exact"/>
        <w:rPr>
          <w:sz w:val="20"/>
          <w:szCs w:val="20"/>
          <w:color w:val="auto"/>
        </w:rPr>
      </w:pPr>
    </w:p>
    <w:p>
      <w:pPr>
        <w:sectPr>
          <w:pgSz w:w="11900" w:h="16838" w:orient="portrait"/>
          <w:cols w:equalWidth="0" w:num="3">
            <w:col w:w="8800" w:space="160"/>
            <w:col w:w="160" w:space="60"/>
            <w:col w:w="2220"/>
          </w:cols>
          <w:pgMar w:left="240" w:top="131" w:right="259" w:bottom="1440" w:gutter="0" w:footer="0" w:header="0"/>
          <w:type w:val="continuous"/>
        </w:sectPr>
      </w:pPr>
    </w:p>
    <w:p>
      <w:pPr>
        <w:spacing w:after="0" w:line="60" w:lineRule="exact"/>
        <w:rPr>
          <w:sz w:val="20"/>
          <w:szCs w:val="20"/>
          <w:color w:val="auto"/>
        </w:rPr>
      </w:pPr>
    </w:p>
    <w:p>
      <w:pPr>
        <w:ind w:right="100" w:firstLine="392"/>
        <w:spacing w:after="0" w:line="259" w:lineRule="auto"/>
        <w:rPr>
          <w:sz w:val="20"/>
          <w:szCs w:val="20"/>
          <w:color w:val="auto"/>
        </w:rPr>
      </w:pPr>
      <w:r>
        <w:rPr>
          <w:rFonts w:ascii="Arial" w:cs="Arial" w:eastAsia="Arial" w:hAnsi="Arial"/>
          <w:sz w:val="18"/>
          <w:szCs w:val="18"/>
          <w:color w:val="auto"/>
        </w:rPr>
        <w:t>The aggregate market value of the voting and non-voting common equity held by non-affiliates computed by reference to the price at which the common equity was last sold as of the last business day of the registrant's most recently completed second fiscal quarter (July 2, 2010) was $1,685,119,902 (assuming, for this purpose, that only directors and officers are deemed affiliates).</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There were 44,041,521 shares of the registrant's common stock issued and outstanding as of January 31, 2011.</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Portions of the Proxy Statement for the registrant's 2010 Annual Meeting of Stockholders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340995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80" w:type="dxa"/>
            <w:vAlign w:val="bottom"/>
            <w:gridSpan w:val="11"/>
          </w:tcPr>
          <w:p>
            <w:pPr>
              <w:ind w:left="240"/>
              <w:spacing w:after="0"/>
              <w:rPr>
                <w:sz w:val="20"/>
                <w:szCs w:val="20"/>
                <w:color w:val="auto"/>
              </w:rPr>
            </w:pPr>
            <w:r>
              <w:rPr>
                <w:rFonts w:ascii="Arial" w:cs="Arial" w:eastAsia="Arial" w:hAnsi="Arial"/>
                <w:sz w:val="18"/>
                <w:szCs w:val="18"/>
                <w:b w:val="1"/>
                <w:bCs w:val="1"/>
                <w:color w:val="auto"/>
              </w:rPr>
              <w:t>Table of Contents</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1540" w:type="dxa"/>
            <w:vAlign w:val="bottom"/>
            <w:gridSpan w:val="7"/>
            <w:vMerge w:val="restart"/>
          </w:tcPr>
          <w:p>
            <w:pPr>
              <w:spacing w:after="0"/>
              <w:rPr>
                <w:rFonts w:ascii="Arial" w:cs="Arial" w:eastAsia="Arial" w:hAnsi="Arial"/>
                <w:sz w:val="18"/>
                <w:szCs w:val="18"/>
                <w:i w:val="1"/>
                <w:iCs w:val="1"/>
                <w:color w:val="0000EE"/>
              </w:rPr>
            </w:pPr>
            <w:hyperlink w:anchor="page4">
              <w:r>
                <w:rPr>
                  <w:rFonts w:ascii="Arial" w:cs="Arial" w:eastAsia="Arial" w:hAnsi="Arial"/>
                  <w:sz w:val="18"/>
                  <w:szCs w:val="18"/>
                  <w:i w:val="1"/>
                  <w:iCs w:val="1"/>
                  <w:color w:val="0000EE"/>
                </w:rPr>
                <w:t>Part I</w:t>
              </w:r>
            </w:hyperlink>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69"/>
        </w:trPr>
        <w:tc>
          <w:tcPr>
            <w:tcW w:w="1540" w:type="dxa"/>
            <w:vAlign w:val="bottom"/>
            <w:gridSpan w:val="7"/>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3"/>
              </w:rPr>
            </w:pPr>
            <w:hyperlink w:anchor="page4">
              <w:r>
                <w:rPr>
                  <w:rFonts w:ascii="Arial" w:cs="Arial" w:eastAsia="Arial" w:hAnsi="Arial"/>
                  <w:sz w:val="18"/>
                  <w:szCs w:val="18"/>
                  <w:color w:val="0000EE"/>
                  <w:w w:val="83"/>
                </w:rPr>
                <w:t>Item 1.</w:t>
              </w:r>
            </w:hyperlink>
          </w:p>
        </w:tc>
        <w:tc>
          <w:tcPr>
            <w:tcW w:w="240" w:type="dxa"/>
            <w:vAlign w:val="bottom"/>
            <w:gridSpan w:val="2"/>
          </w:tcPr>
          <w:p>
            <w:pPr>
              <w:spacing w:after="0"/>
              <w:rPr>
                <w:sz w:val="17"/>
                <w:szCs w:val="17"/>
                <w:color w:val="auto"/>
              </w:rPr>
            </w:pPr>
          </w:p>
        </w:tc>
        <w:tc>
          <w:tcPr>
            <w:tcW w:w="6800" w:type="dxa"/>
            <w:vAlign w:val="bottom"/>
            <w:gridSpan w:val="23"/>
          </w:tcPr>
          <w:p>
            <w:pPr>
              <w:ind w:left="1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640" w:type="dxa"/>
            <w:vAlign w:val="bottom"/>
            <w:gridSpan w:val="3"/>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gridSpan w:val="2"/>
          </w:tcPr>
          <w:p>
            <w:pPr>
              <w:spacing w:after="0" w:line="196" w:lineRule="exact"/>
              <w:rPr>
                <w:rFonts w:ascii="Arial" w:cs="Arial" w:eastAsia="Arial" w:hAnsi="Arial"/>
                <w:sz w:val="18"/>
                <w:szCs w:val="18"/>
                <w:color w:val="0000EE"/>
                <w:w w:val="77"/>
              </w:rPr>
            </w:pPr>
            <w:hyperlink w:anchor="page13">
              <w:r>
                <w:rPr>
                  <w:rFonts w:ascii="Arial" w:cs="Arial" w:eastAsia="Arial" w:hAnsi="Arial"/>
                  <w:sz w:val="18"/>
                  <w:szCs w:val="18"/>
                  <w:color w:val="0000EE"/>
                  <w:w w:val="77"/>
                </w:rPr>
                <w:t>Item 1A.</w:t>
              </w:r>
            </w:hyperlink>
          </w:p>
        </w:tc>
        <w:tc>
          <w:tcPr>
            <w:tcW w:w="180" w:type="dxa"/>
            <w:vAlign w:val="bottom"/>
          </w:tcPr>
          <w:p>
            <w:pPr>
              <w:spacing w:after="0"/>
              <w:rPr>
                <w:sz w:val="17"/>
                <w:szCs w:val="17"/>
                <w:color w:val="auto"/>
              </w:rPr>
            </w:pPr>
          </w:p>
        </w:tc>
        <w:tc>
          <w:tcPr>
            <w:tcW w:w="6800" w:type="dxa"/>
            <w:vAlign w:val="bottom"/>
            <w:gridSpan w:val="23"/>
          </w:tcPr>
          <w:p>
            <w:pPr>
              <w:ind w:left="120"/>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640" w:type="dxa"/>
            <w:vAlign w:val="bottom"/>
            <w:gridSpan w:val="3"/>
          </w:tcPr>
          <w:p>
            <w:pPr>
              <w:jc w:val="right"/>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11</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gridSpan w:val="2"/>
          </w:tcPr>
          <w:p>
            <w:pPr>
              <w:spacing w:after="0" w:line="196" w:lineRule="exact"/>
              <w:rPr>
                <w:rFonts w:ascii="Arial" w:cs="Arial" w:eastAsia="Arial" w:hAnsi="Arial"/>
                <w:sz w:val="18"/>
                <w:szCs w:val="18"/>
                <w:color w:val="0000EE"/>
                <w:w w:val="77"/>
              </w:rPr>
            </w:pPr>
            <w:hyperlink w:anchor="page27">
              <w:r>
                <w:rPr>
                  <w:rFonts w:ascii="Arial" w:cs="Arial" w:eastAsia="Arial" w:hAnsi="Arial"/>
                  <w:sz w:val="18"/>
                  <w:szCs w:val="18"/>
                  <w:color w:val="0000EE"/>
                  <w:w w:val="77"/>
                </w:rPr>
                <w:t>Item 1B.</w:t>
              </w:r>
            </w:hyperlink>
          </w:p>
        </w:tc>
        <w:tc>
          <w:tcPr>
            <w:tcW w:w="180" w:type="dxa"/>
            <w:vAlign w:val="bottom"/>
          </w:tcPr>
          <w:p>
            <w:pPr>
              <w:spacing w:after="0"/>
              <w:rPr>
                <w:sz w:val="17"/>
                <w:szCs w:val="17"/>
                <w:color w:val="auto"/>
              </w:rPr>
            </w:pPr>
          </w:p>
        </w:tc>
        <w:tc>
          <w:tcPr>
            <w:tcW w:w="6800" w:type="dxa"/>
            <w:vAlign w:val="bottom"/>
            <w:gridSpan w:val="23"/>
          </w:tcPr>
          <w:p>
            <w:pPr>
              <w:ind w:left="12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Unresolved Staff Comments</w:t>
              </w:r>
            </w:hyperlink>
          </w:p>
        </w:tc>
        <w:tc>
          <w:tcPr>
            <w:tcW w:w="640" w:type="dxa"/>
            <w:vAlign w:val="bottom"/>
            <w:gridSpan w:val="3"/>
          </w:tcPr>
          <w:p>
            <w:pPr>
              <w:jc w:val="right"/>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3"/>
              </w:rPr>
            </w:pPr>
            <w:hyperlink w:anchor="page27">
              <w:r>
                <w:rPr>
                  <w:rFonts w:ascii="Arial" w:cs="Arial" w:eastAsia="Arial" w:hAnsi="Arial"/>
                  <w:sz w:val="18"/>
                  <w:szCs w:val="18"/>
                  <w:color w:val="0000EE"/>
                  <w:w w:val="83"/>
                </w:rPr>
                <w:t>Item 2.</w:t>
              </w:r>
            </w:hyperlink>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0" w:type="dxa"/>
            <w:vAlign w:val="bottom"/>
            <w:gridSpan w:val="23"/>
          </w:tcPr>
          <w:p>
            <w:pPr>
              <w:ind w:left="12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Properties</w:t>
              </w:r>
            </w:hyperlink>
          </w:p>
        </w:tc>
        <w:tc>
          <w:tcPr>
            <w:tcW w:w="640" w:type="dxa"/>
            <w:vAlign w:val="bottom"/>
            <w:gridSpan w:val="3"/>
          </w:tcPr>
          <w:p>
            <w:pPr>
              <w:jc w:val="right"/>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3"/>
              </w:rPr>
            </w:pPr>
            <w:hyperlink w:anchor="page27">
              <w:r>
                <w:rPr>
                  <w:rFonts w:ascii="Arial" w:cs="Arial" w:eastAsia="Arial" w:hAnsi="Arial"/>
                  <w:sz w:val="18"/>
                  <w:szCs w:val="18"/>
                  <w:color w:val="0000EE"/>
                  <w:w w:val="83"/>
                </w:rPr>
                <w:t>Item 3.</w:t>
              </w:r>
            </w:hyperlink>
          </w:p>
        </w:tc>
        <w:tc>
          <w:tcPr>
            <w:tcW w:w="240" w:type="dxa"/>
            <w:vAlign w:val="bottom"/>
            <w:gridSpan w:val="2"/>
          </w:tcPr>
          <w:p>
            <w:pPr>
              <w:spacing w:after="0"/>
              <w:rPr>
                <w:sz w:val="17"/>
                <w:szCs w:val="17"/>
                <w:color w:val="auto"/>
              </w:rPr>
            </w:pPr>
          </w:p>
        </w:tc>
        <w:tc>
          <w:tcPr>
            <w:tcW w:w="6800" w:type="dxa"/>
            <w:vAlign w:val="bottom"/>
            <w:gridSpan w:val="23"/>
          </w:tcPr>
          <w:p>
            <w:pPr>
              <w:ind w:left="12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640" w:type="dxa"/>
            <w:vAlign w:val="bottom"/>
            <w:gridSpan w:val="3"/>
          </w:tcPr>
          <w:p>
            <w:pPr>
              <w:jc w:val="right"/>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196"/>
        </w:trPr>
        <w:tc>
          <w:tcPr>
            <w:tcW w:w="800" w:type="dxa"/>
            <w:vAlign w:val="bottom"/>
            <w:gridSpan w:val="4"/>
          </w:tcPr>
          <w:p>
            <w:pPr>
              <w:spacing w:after="0" w:line="196" w:lineRule="exact"/>
              <w:rPr>
                <w:rFonts w:ascii="Arial" w:cs="Arial" w:eastAsia="Arial" w:hAnsi="Arial"/>
                <w:sz w:val="18"/>
                <w:szCs w:val="18"/>
                <w:i w:val="1"/>
                <w:iCs w:val="1"/>
                <w:color w:val="0000EE"/>
              </w:rPr>
            </w:pPr>
            <w:hyperlink w:anchor="page28">
              <w:r>
                <w:rPr>
                  <w:rFonts w:ascii="Arial" w:cs="Arial" w:eastAsia="Arial" w:hAnsi="Arial"/>
                  <w:sz w:val="18"/>
                  <w:szCs w:val="18"/>
                  <w:i w:val="1"/>
                  <w:iCs w:val="1"/>
                  <w:color w:val="0000EE"/>
                </w:rPr>
                <w:t>Part II</w:t>
              </w:r>
            </w:hyperlink>
          </w:p>
        </w:tc>
        <w:tc>
          <w:tcPr>
            <w:tcW w:w="500" w:type="dxa"/>
            <w:vAlign w:val="bottom"/>
            <w:tcBorders>
              <w:top w:val="single" w:sz="8" w:color="0000EE"/>
            </w:tcBorders>
          </w:tcPr>
          <w:p>
            <w:pPr>
              <w:spacing w:after="0"/>
              <w:rPr>
                <w:sz w:val="17"/>
                <w:szCs w:val="17"/>
                <w:color w:val="auto"/>
              </w:rPr>
            </w:pPr>
          </w:p>
        </w:tc>
        <w:tc>
          <w:tcPr>
            <w:tcW w:w="2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5.</w:t>
              </w:r>
            </w:hyperlink>
          </w:p>
        </w:tc>
        <w:tc>
          <w:tcPr>
            <w:tcW w:w="6800" w:type="dxa"/>
            <w:vAlign w:val="bottom"/>
            <w:gridSpan w:val="23"/>
          </w:tcPr>
          <w:p>
            <w:pPr>
              <w:ind w:left="120"/>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Market for Registrant's Common Equity, Related Stockholder Matters and Issuer Purchases</w:t>
              </w:r>
            </w:hyperlink>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of Equity Securities</w:t>
              </w:r>
            </w:hyperlink>
          </w:p>
        </w:tc>
        <w:tc>
          <w:tcPr>
            <w:tcW w:w="4840" w:type="dxa"/>
            <w:vAlign w:val="bottom"/>
            <w:tcBorders>
              <w:top w:val="single" w:sz="8" w:color="0000EE"/>
            </w:tcBorders>
            <w:gridSpan w:val="14"/>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26</w:t>
              </w:r>
            </w:hyperlink>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3"/>
              </w:rPr>
            </w:pPr>
            <w:hyperlink w:anchor="page31">
              <w:r>
                <w:rPr>
                  <w:rFonts w:ascii="Arial" w:cs="Arial" w:eastAsia="Arial" w:hAnsi="Arial"/>
                  <w:sz w:val="18"/>
                  <w:szCs w:val="18"/>
                  <w:color w:val="0000EE"/>
                  <w:w w:val="83"/>
                </w:rPr>
                <w:t>Item 6.</w:t>
              </w:r>
            </w:hyperlink>
          </w:p>
        </w:tc>
        <w:tc>
          <w:tcPr>
            <w:tcW w:w="240" w:type="dxa"/>
            <w:vAlign w:val="bottom"/>
            <w:gridSpan w:val="2"/>
          </w:tcPr>
          <w:p>
            <w:pPr>
              <w:spacing w:after="0"/>
              <w:rPr>
                <w:sz w:val="17"/>
                <w:szCs w:val="17"/>
                <w:color w:val="auto"/>
              </w:rPr>
            </w:pPr>
          </w:p>
        </w:tc>
        <w:tc>
          <w:tcPr>
            <w:tcW w:w="6800" w:type="dxa"/>
            <w:vAlign w:val="bottom"/>
            <w:gridSpan w:val="23"/>
          </w:tcPr>
          <w:p>
            <w:pPr>
              <w:ind w:left="120"/>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Selected Financial Data</w:t>
              </w:r>
            </w:hyperlink>
          </w:p>
        </w:tc>
        <w:tc>
          <w:tcPr>
            <w:tcW w:w="640" w:type="dxa"/>
            <w:vAlign w:val="bottom"/>
            <w:gridSpan w:val="3"/>
          </w:tcPr>
          <w:p>
            <w:pPr>
              <w:jc w:val="right"/>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29</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3"/>
              </w:rPr>
            </w:pPr>
            <w:hyperlink w:anchor="page31">
              <w:r>
                <w:rPr>
                  <w:rFonts w:ascii="Arial" w:cs="Arial" w:eastAsia="Arial" w:hAnsi="Arial"/>
                  <w:sz w:val="18"/>
                  <w:szCs w:val="18"/>
                  <w:color w:val="0000EE"/>
                  <w:w w:val="83"/>
                </w:rPr>
                <w:t>Item 7.</w:t>
              </w:r>
            </w:hyperlink>
          </w:p>
        </w:tc>
        <w:tc>
          <w:tcPr>
            <w:tcW w:w="240" w:type="dxa"/>
            <w:vAlign w:val="bottom"/>
            <w:gridSpan w:val="2"/>
          </w:tcPr>
          <w:p>
            <w:pPr>
              <w:spacing w:after="0"/>
              <w:rPr>
                <w:sz w:val="17"/>
                <w:szCs w:val="17"/>
                <w:color w:val="auto"/>
              </w:rPr>
            </w:pPr>
          </w:p>
        </w:tc>
        <w:tc>
          <w:tcPr>
            <w:tcW w:w="6800" w:type="dxa"/>
            <w:vAlign w:val="bottom"/>
            <w:gridSpan w:val="23"/>
          </w:tcPr>
          <w:p>
            <w:pPr>
              <w:ind w:left="120"/>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Management's Discussion and Analysis of Financial Condition and Results of Operations</w:t>
              </w:r>
            </w:hyperlink>
          </w:p>
        </w:tc>
        <w:tc>
          <w:tcPr>
            <w:tcW w:w="640" w:type="dxa"/>
            <w:vAlign w:val="bottom"/>
            <w:gridSpan w:val="3"/>
          </w:tcPr>
          <w:p>
            <w:pPr>
              <w:jc w:val="right"/>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29</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gridSpan w:val="2"/>
          </w:tcPr>
          <w:p>
            <w:pPr>
              <w:spacing w:after="0" w:line="196" w:lineRule="exact"/>
              <w:rPr>
                <w:rFonts w:ascii="Arial" w:cs="Arial" w:eastAsia="Arial" w:hAnsi="Arial"/>
                <w:sz w:val="18"/>
                <w:szCs w:val="18"/>
                <w:color w:val="0000EE"/>
                <w:w w:val="77"/>
              </w:rPr>
            </w:pPr>
            <w:hyperlink w:anchor="page45">
              <w:r>
                <w:rPr>
                  <w:rFonts w:ascii="Arial" w:cs="Arial" w:eastAsia="Arial" w:hAnsi="Arial"/>
                  <w:sz w:val="18"/>
                  <w:szCs w:val="18"/>
                  <w:color w:val="0000EE"/>
                  <w:w w:val="77"/>
                </w:rPr>
                <w:t>Item 7A.</w:t>
              </w:r>
            </w:hyperlink>
          </w:p>
        </w:tc>
        <w:tc>
          <w:tcPr>
            <w:tcW w:w="180" w:type="dxa"/>
            <w:vAlign w:val="bottom"/>
          </w:tcPr>
          <w:p>
            <w:pPr>
              <w:spacing w:after="0"/>
              <w:rPr>
                <w:sz w:val="17"/>
                <w:szCs w:val="17"/>
                <w:color w:val="auto"/>
              </w:rPr>
            </w:pPr>
          </w:p>
        </w:tc>
        <w:tc>
          <w:tcPr>
            <w:tcW w:w="6800" w:type="dxa"/>
            <w:vAlign w:val="bottom"/>
            <w:gridSpan w:val="23"/>
          </w:tcPr>
          <w:p>
            <w:pPr>
              <w:ind w:left="120"/>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Quantitative and Qualitative Disclosures about Market Risk</w:t>
              </w:r>
            </w:hyperlink>
          </w:p>
        </w:tc>
        <w:tc>
          <w:tcPr>
            <w:tcW w:w="640" w:type="dxa"/>
            <w:vAlign w:val="bottom"/>
            <w:gridSpan w:val="3"/>
          </w:tcPr>
          <w:p>
            <w:pPr>
              <w:jc w:val="right"/>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3"/>
              </w:rPr>
            </w:pPr>
            <w:hyperlink w:anchor="page46">
              <w:r>
                <w:rPr>
                  <w:rFonts w:ascii="Arial" w:cs="Arial" w:eastAsia="Arial" w:hAnsi="Arial"/>
                  <w:sz w:val="18"/>
                  <w:szCs w:val="18"/>
                  <w:color w:val="0000EE"/>
                  <w:w w:val="83"/>
                </w:rPr>
                <w:t>Item 8.</w:t>
              </w:r>
            </w:hyperlink>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0" w:type="dxa"/>
            <w:vAlign w:val="bottom"/>
            <w:gridSpan w:val="23"/>
          </w:tcPr>
          <w:p>
            <w:pPr>
              <w:ind w:left="120"/>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Financial Statements and Supplementary Data</w:t>
              </w:r>
            </w:hyperlink>
          </w:p>
        </w:tc>
        <w:tc>
          <w:tcPr>
            <w:tcW w:w="640" w:type="dxa"/>
            <w:vAlign w:val="bottom"/>
            <w:gridSpan w:val="3"/>
          </w:tcPr>
          <w:p>
            <w:pPr>
              <w:jc w:val="right"/>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3"/>
              </w:rPr>
            </w:pPr>
            <w:hyperlink w:anchor="page46">
              <w:r>
                <w:rPr>
                  <w:rFonts w:ascii="Arial" w:cs="Arial" w:eastAsia="Arial" w:hAnsi="Arial"/>
                  <w:sz w:val="18"/>
                  <w:szCs w:val="18"/>
                  <w:color w:val="0000EE"/>
                  <w:w w:val="83"/>
                </w:rPr>
                <w:t>Item 9.</w:t>
              </w:r>
            </w:hyperlink>
          </w:p>
        </w:tc>
        <w:tc>
          <w:tcPr>
            <w:tcW w:w="240" w:type="dxa"/>
            <w:vAlign w:val="bottom"/>
            <w:gridSpan w:val="2"/>
          </w:tcPr>
          <w:p>
            <w:pPr>
              <w:spacing w:after="0"/>
              <w:rPr>
                <w:sz w:val="17"/>
                <w:szCs w:val="17"/>
                <w:color w:val="auto"/>
              </w:rPr>
            </w:pPr>
          </w:p>
        </w:tc>
        <w:tc>
          <w:tcPr>
            <w:tcW w:w="6800" w:type="dxa"/>
            <w:vAlign w:val="bottom"/>
            <w:gridSpan w:val="23"/>
          </w:tcPr>
          <w:p>
            <w:pPr>
              <w:ind w:left="120"/>
              <w:spacing w:after="0" w:line="196" w:lineRule="exact"/>
              <w:rPr>
                <w:rFonts w:ascii="Arial" w:cs="Arial" w:eastAsia="Arial" w:hAnsi="Arial"/>
                <w:sz w:val="18"/>
                <w:szCs w:val="18"/>
                <w:color w:val="0000EE"/>
                <w:w w:val="93"/>
              </w:rPr>
            </w:pPr>
            <w:hyperlink w:anchor="page46">
              <w:r>
                <w:rPr>
                  <w:rFonts w:ascii="Arial" w:cs="Arial" w:eastAsia="Arial" w:hAnsi="Arial"/>
                  <w:sz w:val="18"/>
                  <w:szCs w:val="18"/>
                  <w:color w:val="0000EE"/>
                  <w:w w:val="93"/>
                </w:rPr>
                <w:t>Changes in and Disagreements with Accountants on Accounting and Financial Disclosure</w:t>
              </w:r>
            </w:hyperlink>
          </w:p>
        </w:tc>
        <w:tc>
          <w:tcPr>
            <w:tcW w:w="640" w:type="dxa"/>
            <w:vAlign w:val="bottom"/>
            <w:gridSpan w:val="3"/>
          </w:tcPr>
          <w:p>
            <w:pPr>
              <w:jc w:val="right"/>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gridSpan w:val="2"/>
          </w:tcPr>
          <w:p>
            <w:pPr>
              <w:spacing w:after="0" w:line="196" w:lineRule="exact"/>
              <w:rPr>
                <w:rFonts w:ascii="Arial" w:cs="Arial" w:eastAsia="Arial" w:hAnsi="Arial"/>
                <w:sz w:val="18"/>
                <w:szCs w:val="18"/>
                <w:color w:val="0000EE"/>
                <w:w w:val="77"/>
              </w:rPr>
            </w:pPr>
            <w:hyperlink w:anchor="page46">
              <w:r>
                <w:rPr>
                  <w:rFonts w:ascii="Arial" w:cs="Arial" w:eastAsia="Arial" w:hAnsi="Arial"/>
                  <w:sz w:val="18"/>
                  <w:szCs w:val="18"/>
                  <w:color w:val="0000EE"/>
                  <w:w w:val="77"/>
                </w:rPr>
                <w:t>Item 9A.</w:t>
              </w:r>
            </w:hyperlink>
          </w:p>
        </w:tc>
        <w:tc>
          <w:tcPr>
            <w:tcW w:w="180" w:type="dxa"/>
            <w:vAlign w:val="bottom"/>
          </w:tcPr>
          <w:p>
            <w:pPr>
              <w:spacing w:after="0"/>
              <w:rPr>
                <w:sz w:val="17"/>
                <w:szCs w:val="17"/>
                <w:color w:val="auto"/>
              </w:rPr>
            </w:pPr>
          </w:p>
        </w:tc>
        <w:tc>
          <w:tcPr>
            <w:tcW w:w="6800" w:type="dxa"/>
            <w:vAlign w:val="bottom"/>
            <w:gridSpan w:val="23"/>
          </w:tcPr>
          <w:p>
            <w:pPr>
              <w:ind w:left="120"/>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Controls and Procedures</w:t>
              </w:r>
            </w:hyperlink>
          </w:p>
        </w:tc>
        <w:tc>
          <w:tcPr>
            <w:tcW w:w="640" w:type="dxa"/>
            <w:vAlign w:val="bottom"/>
            <w:gridSpan w:val="3"/>
          </w:tcPr>
          <w:p>
            <w:pPr>
              <w:jc w:val="right"/>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gridSpan w:val="2"/>
          </w:tcPr>
          <w:p>
            <w:pPr>
              <w:spacing w:after="0" w:line="196" w:lineRule="exact"/>
              <w:rPr>
                <w:rFonts w:ascii="Arial" w:cs="Arial" w:eastAsia="Arial" w:hAnsi="Arial"/>
                <w:sz w:val="18"/>
                <w:szCs w:val="18"/>
                <w:color w:val="0000EE"/>
                <w:w w:val="77"/>
              </w:rPr>
            </w:pPr>
            <w:hyperlink w:anchor="page47">
              <w:r>
                <w:rPr>
                  <w:rFonts w:ascii="Arial" w:cs="Arial" w:eastAsia="Arial" w:hAnsi="Arial"/>
                  <w:sz w:val="18"/>
                  <w:szCs w:val="18"/>
                  <w:color w:val="0000EE"/>
                  <w:w w:val="77"/>
                </w:rPr>
                <w:t>Item 9B.</w:t>
              </w:r>
            </w:hyperlink>
          </w:p>
        </w:tc>
        <w:tc>
          <w:tcPr>
            <w:tcW w:w="180" w:type="dxa"/>
            <w:vAlign w:val="bottom"/>
          </w:tcPr>
          <w:p>
            <w:pPr>
              <w:spacing w:after="0"/>
              <w:rPr>
                <w:sz w:val="17"/>
                <w:szCs w:val="17"/>
                <w:color w:val="auto"/>
              </w:rPr>
            </w:pPr>
          </w:p>
        </w:tc>
        <w:tc>
          <w:tcPr>
            <w:tcW w:w="6800" w:type="dxa"/>
            <w:vAlign w:val="bottom"/>
            <w:gridSpan w:val="23"/>
          </w:tcPr>
          <w:p>
            <w:pPr>
              <w:ind w:left="120"/>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Other Information</w:t>
              </w:r>
            </w:hyperlink>
          </w:p>
        </w:tc>
        <w:tc>
          <w:tcPr>
            <w:tcW w:w="640" w:type="dxa"/>
            <w:vAlign w:val="bottom"/>
            <w:gridSpan w:val="3"/>
          </w:tcPr>
          <w:p>
            <w:pPr>
              <w:jc w:val="right"/>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196"/>
        </w:trPr>
        <w:tc>
          <w:tcPr>
            <w:tcW w:w="800" w:type="dxa"/>
            <w:vAlign w:val="bottom"/>
            <w:gridSpan w:val="4"/>
          </w:tcPr>
          <w:p>
            <w:pPr>
              <w:spacing w:after="0" w:line="196" w:lineRule="exact"/>
              <w:rPr>
                <w:rFonts w:ascii="Arial" w:cs="Arial" w:eastAsia="Arial" w:hAnsi="Arial"/>
                <w:sz w:val="18"/>
                <w:szCs w:val="18"/>
                <w:i w:val="1"/>
                <w:iCs w:val="1"/>
                <w:color w:val="0000EE"/>
              </w:rPr>
            </w:pPr>
            <w:hyperlink w:anchor="page47">
              <w:r>
                <w:rPr>
                  <w:rFonts w:ascii="Arial" w:cs="Arial" w:eastAsia="Arial" w:hAnsi="Arial"/>
                  <w:sz w:val="18"/>
                  <w:szCs w:val="18"/>
                  <w:i w:val="1"/>
                  <w:iCs w:val="1"/>
                  <w:color w:val="0000EE"/>
                </w:rPr>
                <w:t>Part III</w:t>
              </w:r>
            </w:hyperlink>
          </w:p>
        </w:tc>
        <w:tc>
          <w:tcPr>
            <w:tcW w:w="560" w:type="dxa"/>
            <w:vAlign w:val="bottom"/>
            <w:tcBorders>
              <w:top w:val="single" w:sz="8" w:color="0000EE"/>
            </w:tcBorders>
            <w:gridSpan w:val="2"/>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3"/>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Item 10.</w:t>
              </w:r>
            </w:hyperlink>
          </w:p>
        </w:tc>
        <w:tc>
          <w:tcPr>
            <w:tcW w:w="6800" w:type="dxa"/>
            <w:vAlign w:val="bottom"/>
            <w:gridSpan w:val="23"/>
          </w:tcPr>
          <w:p>
            <w:pPr>
              <w:ind w:left="120"/>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Directors, Executive Officers and Corporate Governance</w:t>
              </w:r>
            </w:hyperlink>
          </w:p>
        </w:tc>
        <w:tc>
          <w:tcPr>
            <w:tcW w:w="640" w:type="dxa"/>
            <w:vAlign w:val="bottom"/>
            <w:gridSpan w:val="3"/>
          </w:tcPr>
          <w:p>
            <w:pPr>
              <w:jc w:val="right"/>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gridSpan w:val="8"/>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gridSpan w:val="2"/>
          </w:tcPr>
          <w:p>
            <w:pPr>
              <w:spacing w:after="0" w:line="196"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Item 11.</w:t>
              </w:r>
            </w:hyperlink>
          </w:p>
        </w:tc>
        <w:tc>
          <w:tcPr>
            <w:tcW w:w="180" w:type="dxa"/>
            <w:vAlign w:val="bottom"/>
          </w:tcPr>
          <w:p>
            <w:pPr>
              <w:spacing w:after="0"/>
              <w:rPr>
                <w:sz w:val="17"/>
                <w:szCs w:val="17"/>
                <w:color w:val="auto"/>
              </w:rPr>
            </w:pPr>
          </w:p>
        </w:tc>
        <w:tc>
          <w:tcPr>
            <w:tcW w:w="6800" w:type="dxa"/>
            <w:vAlign w:val="bottom"/>
            <w:gridSpan w:val="23"/>
          </w:tcPr>
          <w:p>
            <w:pPr>
              <w:ind w:left="120"/>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Executive Compensation</w:t>
              </w:r>
            </w:hyperlink>
          </w:p>
        </w:tc>
        <w:tc>
          <w:tcPr>
            <w:tcW w:w="640" w:type="dxa"/>
            <w:vAlign w:val="bottom"/>
            <w:gridSpan w:val="3"/>
          </w:tcPr>
          <w:p>
            <w:pPr>
              <w:jc w:val="right"/>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gridSpan w:val="8"/>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3"/>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Item 12.</w:t>
              </w:r>
            </w:hyperlink>
          </w:p>
        </w:tc>
        <w:tc>
          <w:tcPr>
            <w:tcW w:w="6800" w:type="dxa"/>
            <w:vAlign w:val="bottom"/>
            <w:gridSpan w:val="23"/>
          </w:tcPr>
          <w:p>
            <w:pPr>
              <w:ind w:left="120"/>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Security Ownership of Certain Beneficial Owners and Management and Related</w:t>
              </w:r>
            </w:hyperlink>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4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Stockholder Matters</w:t>
              </w:r>
            </w:hyperlink>
          </w:p>
        </w:tc>
        <w:tc>
          <w:tcPr>
            <w:tcW w:w="1040" w:type="dxa"/>
            <w:vAlign w:val="bottom"/>
            <w:gridSpan w:val="4"/>
          </w:tcPr>
          <w:p>
            <w:pPr>
              <w:spacing w:after="0"/>
              <w:rPr>
                <w:sz w:val="17"/>
                <w:szCs w:val="17"/>
                <w:color w:val="auto"/>
              </w:rPr>
            </w:pPr>
          </w:p>
        </w:tc>
        <w:tc>
          <w:tcPr>
            <w:tcW w:w="640" w:type="dxa"/>
            <w:vAlign w:val="bottom"/>
            <w:gridSpan w:val="3"/>
          </w:tcPr>
          <w:p>
            <w:pPr>
              <w:jc w:val="right"/>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20" w:type="dxa"/>
            <w:vAlign w:val="bottom"/>
            <w:gridSpan w:val="7"/>
            <w:shd w:val="clear" w:color="auto" w:fill="0000EE"/>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gridSpan w:val="2"/>
          </w:tcPr>
          <w:p>
            <w:pPr>
              <w:spacing w:after="0" w:line="196"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Item 13.</w:t>
              </w:r>
            </w:hyperlink>
          </w:p>
        </w:tc>
        <w:tc>
          <w:tcPr>
            <w:tcW w:w="180" w:type="dxa"/>
            <w:vAlign w:val="bottom"/>
          </w:tcPr>
          <w:p>
            <w:pPr>
              <w:spacing w:after="0"/>
              <w:rPr>
                <w:sz w:val="17"/>
                <w:szCs w:val="17"/>
                <w:color w:val="auto"/>
              </w:rPr>
            </w:pPr>
          </w:p>
        </w:tc>
        <w:tc>
          <w:tcPr>
            <w:tcW w:w="6800" w:type="dxa"/>
            <w:vAlign w:val="bottom"/>
            <w:gridSpan w:val="23"/>
          </w:tcPr>
          <w:p>
            <w:pPr>
              <w:ind w:left="120"/>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Certain Relationships and Related Transactions, and Director Independence</w:t>
              </w:r>
            </w:hyperlink>
          </w:p>
        </w:tc>
        <w:tc>
          <w:tcPr>
            <w:tcW w:w="640" w:type="dxa"/>
            <w:vAlign w:val="bottom"/>
            <w:gridSpan w:val="3"/>
          </w:tcPr>
          <w:p>
            <w:pPr>
              <w:jc w:val="right"/>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gridSpan w:val="1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40" w:type="dxa"/>
            <w:vAlign w:val="bottom"/>
            <w:gridSpan w:val="4"/>
            <w:shd w:val="clear" w:color="auto" w:fill="0000EE"/>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gridSpan w:val="2"/>
          </w:tcPr>
          <w:p>
            <w:pPr>
              <w:spacing w:after="0" w:line="196"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Item 14.</w:t>
              </w:r>
            </w:hyperlink>
          </w:p>
        </w:tc>
        <w:tc>
          <w:tcPr>
            <w:tcW w:w="180" w:type="dxa"/>
            <w:vAlign w:val="bottom"/>
          </w:tcPr>
          <w:p>
            <w:pPr>
              <w:spacing w:after="0"/>
              <w:rPr>
                <w:sz w:val="17"/>
                <w:szCs w:val="17"/>
                <w:color w:val="auto"/>
              </w:rPr>
            </w:pPr>
          </w:p>
        </w:tc>
        <w:tc>
          <w:tcPr>
            <w:tcW w:w="6800" w:type="dxa"/>
            <w:vAlign w:val="bottom"/>
            <w:gridSpan w:val="23"/>
          </w:tcPr>
          <w:p>
            <w:pPr>
              <w:ind w:left="120"/>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Principal Accounting Fees and Services</w:t>
              </w:r>
            </w:hyperlink>
          </w:p>
        </w:tc>
        <w:tc>
          <w:tcPr>
            <w:tcW w:w="640" w:type="dxa"/>
            <w:vAlign w:val="bottom"/>
            <w:gridSpan w:val="3"/>
          </w:tcPr>
          <w:p>
            <w:pPr>
              <w:jc w:val="right"/>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196"/>
        </w:trPr>
        <w:tc>
          <w:tcPr>
            <w:tcW w:w="800" w:type="dxa"/>
            <w:vAlign w:val="bottom"/>
            <w:gridSpan w:val="4"/>
          </w:tcPr>
          <w:p>
            <w:pPr>
              <w:spacing w:after="0" w:line="196" w:lineRule="exact"/>
              <w:rPr>
                <w:rFonts w:ascii="Arial" w:cs="Arial" w:eastAsia="Arial" w:hAnsi="Arial"/>
                <w:sz w:val="18"/>
                <w:szCs w:val="18"/>
                <w:i w:val="1"/>
                <w:iCs w:val="1"/>
                <w:color w:val="0000EE"/>
              </w:rPr>
            </w:pPr>
            <w:hyperlink w:anchor="page51">
              <w:r>
                <w:rPr>
                  <w:rFonts w:ascii="Arial" w:cs="Arial" w:eastAsia="Arial" w:hAnsi="Arial"/>
                  <w:sz w:val="18"/>
                  <w:szCs w:val="18"/>
                  <w:i w:val="1"/>
                  <w:iCs w:val="1"/>
                  <w:color w:val="0000EE"/>
                </w:rPr>
                <w:t>Part IV</w:t>
              </w:r>
            </w:hyperlink>
          </w:p>
        </w:tc>
        <w:tc>
          <w:tcPr>
            <w:tcW w:w="560" w:type="dxa"/>
            <w:vAlign w:val="bottom"/>
            <w:tcBorders>
              <w:top w:val="single" w:sz="8" w:color="0000EE"/>
            </w:tcBorders>
            <w:gridSpan w:val="2"/>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gridSpan w:val="2"/>
          </w:tcPr>
          <w:p>
            <w:pPr>
              <w:spacing w:after="0" w:line="196"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Item 15.</w:t>
              </w:r>
            </w:hyperlink>
          </w:p>
        </w:tc>
        <w:tc>
          <w:tcPr>
            <w:tcW w:w="180" w:type="dxa"/>
            <w:vAlign w:val="bottom"/>
          </w:tcPr>
          <w:p>
            <w:pPr>
              <w:spacing w:after="0"/>
              <w:rPr>
                <w:sz w:val="17"/>
                <w:szCs w:val="17"/>
                <w:color w:val="auto"/>
              </w:rPr>
            </w:pPr>
          </w:p>
        </w:tc>
        <w:tc>
          <w:tcPr>
            <w:tcW w:w="6800" w:type="dxa"/>
            <w:vAlign w:val="bottom"/>
            <w:gridSpan w:val="23"/>
          </w:tcPr>
          <w:p>
            <w:pPr>
              <w:ind w:left="120"/>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Exhibits and Financial Statement Schedules</w:t>
              </w:r>
            </w:hyperlink>
          </w:p>
        </w:tc>
        <w:tc>
          <w:tcPr>
            <w:tcW w:w="640" w:type="dxa"/>
            <w:vAlign w:val="bottom"/>
            <w:gridSpan w:val="3"/>
          </w:tcPr>
          <w:p>
            <w:pPr>
              <w:jc w:val="right"/>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Cautionary Statement</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Except for the historical financial information contained herein, the matters discussed in this report on Form 10-K (as well as documents incorporated herein by reference) may be considered "forward-looking" statements within the meaning of Section 27A of the Securities Act of 1933, as amended, and Section 21E of the Securities Exchange Act of 1934, as amended. Such forward-looking statements include declarations regarding the intent, belief or current expectations of Silicon Laboratories Inc. and its management and may be signified by the words "believe," "estimate," "expect," "intend," "anticipate," "plan," "project," "will" or similar language. You are cautioned that any such forward-looking statements are not guarantees of future performance and involve a number of risks and uncertainties. Actual results could differ materially from those indicated by such forward-looking statements. Factors that could cause or contribute to such differences include those discussed under "Risk Factors" and elsewhere in this report. Silicon Laboratories disclaims any intention or obligation to update or revise any forward-looking statements, whether as a result of new information, future events or otherwise.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Silicon Laboratories Inc. designs and develops proprietary, analog-intensive, mixed-signal integrated circuits (ICs) for a broad range of applications. Mixed-signal ICs are electronic components that convert real-world analog signals, such as sound and radio waves, into digital signals that electronic products can process. Therefore, mixed-signal ICs are critical components in a broad range of applications in a variety of markets, including communications, consumer, industrial, automotive, medical and power management.</w:t>
      </w:r>
    </w:p>
    <w:p>
      <w:pPr>
        <w:spacing w:after="0" w:line="197"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color w:val="auto"/>
        </w:rPr>
        <w:t>Our world-class, mixed-signal ICs use standard complementary metal oxide semiconductor (CMOS) technology to dramatically reduce the cost, size and system power requirements of devices that our customers sell to their end-user customers. Our expertise in analog-intensive, mixed-signal IC design in CMOS allows us to develop new and innovative products that are highly integrated, simplifying our customers' designs and improving their time-to-market.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Communications, computing and consumer electronics continue to drive semiconductor consumption. Growth in these markets has been driven primarily by the increasing pervasiveness of Internet usage, development of new communications technologies and the availability of improved communication services at lower costs over high-speed, highly reliable networks. This demand has fueled tremendous growth in the number of electronic devices. Demand for functionality in mobile, handheld devices such as mobile phones, portable media players and personal navigation devices, has increased as manufacturers attempt to further differentiate their products. Consumer and enterprise demand for Internet connectivity, the availability of alternative telephony services and the transition to digital video are also key trends driving demand for innovative, mixed-signal ICs.</w:t>
      </w:r>
    </w:p>
    <w:p>
      <w:pPr>
        <w:spacing w:after="0" w:line="174"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All of these applications are characterized by an intersection between the analog world we live in and the digital world of computing, and therefore require analog-intensive, mixed-signal circuits. Traditional mixed-signal designs relied upon solutions built with numerous, complex discrete analog and digital components. While these traditional designs provide the required functionality, they are often inefficient and inadequate for use in markets where size, cost, power consumption and performance are increasingly important product differentiators. In order to improve their competitive position, electronics manufacturers need to reduce the cost and complexity of their systems and enable new features or functionality to differentiate themselves from their competitors.</w:t>
      </w:r>
    </w:p>
    <w:p>
      <w:pPr>
        <w:spacing w:after="0" w:line="17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Simultaneously, these manufacturers face accelerating time-to-market demands and must be able to rapidly adapt to evolving industry standards and new technologies. Because analog-intensive, mixed-signal IC design expertise is difficult to find, these manufacturers increasingly are turning to third parties, like us, to provide advanced mixed-signal solutions. Mixed-signal design requires specific expertise and relies on creative, experienced engineers to deliver solutions that optimize speed, power and performance despite the noisy digital environment and within the constraints of standard manufacturing processes. The development of this design expertise typically requires years of practical analog design experience under the guidance of a senior engineer, and engineers with the required level of skill and expertise are in short supply.</w:t>
      </w:r>
    </w:p>
    <w:p>
      <w:pPr>
        <w:spacing w:after="0" w:line="17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Many IC providers lack sufficient analog expertise to develop compelling mixed-signal ICs. As a result, manufacturers of electronic devices value IC providers that can supply them with mixed-signal ICs with greater functionality, smaller size and lower power requirements at a reduced cost and shorter time-to-market.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provide analog-intensive, mixed-signal ICs for use in a variety of electronic products in a broad range of applications including portable devices, satellite set top boxes, AM/FM radios and other consumer electronics, networking equipment, test and measurement equipment, industrial monitoring and control, central office telephone equipment and customer premises equipment. Our products integrate complex mixed-signal functions that are frequently performed by numerous discrete components in competing products into single chips or chipsets. By doing so, we are able to create products that when compared to many competing products:</w:t>
      </w:r>
    </w:p>
    <w:p>
      <w:pPr>
        <w:spacing w:after="0" w:line="210"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Require less board space;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 the use of external components lowering the system cost and simplifying design;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Offer superior performance improving our customers' end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increased reliability and manufacturability, improving customer yields; and/or</w:t>
      </w:r>
    </w:p>
    <w:p>
      <w:pPr>
        <w:spacing w:after="0" w:line="252" w:lineRule="exact"/>
        <w:rPr>
          <w:rFonts w:ascii="Arial" w:cs="Arial" w:eastAsia="Arial" w:hAnsi="Arial"/>
          <w:sz w:val="18"/>
          <w:szCs w:val="18"/>
          <w:color w:val="auto"/>
        </w:rPr>
      </w:pPr>
    </w:p>
    <w:p>
      <w:pPr>
        <w:ind w:left="360" w:right="3860" w:firstLine="188"/>
        <w:spacing w:after="0" w:line="501" w:lineRule="auto"/>
        <w:tabs>
          <w:tab w:leader="none" w:pos="1092"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 system power requirements enabling smaller form factors and/or longer battery life. We group our products into the following categories:</w:t>
      </w:r>
    </w:p>
    <w:p>
      <w:pPr>
        <w:spacing w:after="0" w:line="13"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Broad-based products, which include our microcontrollers, timing products (clocks and oscillators), wireless receivers, isolation devices and human interface sensors;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Broadcast products, which include our broadcast audio and video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Access products, which include our embedded modems, Voice over IP (VoIP) products and our Power over Ethernet devices; and</w:t>
      </w:r>
    </w:p>
    <w:p>
      <w:pPr>
        <w:spacing w:after="0" w:line="261" w:lineRule="exact"/>
        <w:rPr>
          <w:rFonts w:ascii="Arial" w:cs="Arial" w:eastAsia="Arial" w:hAnsi="Arial"/>
          <w:sz w:val="16"/>
          <w:szCs w:val="16"/>
          <w:color w:val="auto"/>
        </w:rPr>
      </w:pPr>
    </w:p>
    <w:p>
      <w:pPr>
        <w:ind w:left="1080" w:right="3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Mature products, which include certain devices that are at the end of their respective life cycles and therefore receive minimal or no continued research and development investment, including our DSL analog front end ICs and IRDA devices.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diverse product areas and applications for the various ICs that we have introduced to customers:</w:t>
      </w:r>
    </w:p>
    <w:p>
      <w:pPr>
        <w:sectPr>
          <w:pgSz w:w="11900" w:h="16838" w:orient="portrait"/>
          <w:cols w:equalWidth="0" w:num="1">
            <w:col w:w="11400"/>
          </w:cols>
          <w:pgMar w:left="240" w:top="131" w:right="25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 Areas and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260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Broad-based Products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Microcontrollers</w:t>
      </w:r>
    </w:p>
    <w:p>
      <w:pPr>
        <w:spacing w:after="0" w:line="15" w:lineRule="exact"/>
        <w:rPr>
          <w:sz w:val="20"/>
          <w:szCs w:val="20"/>
          <w:color w:val="auto"/>
        </w:rPr>
      </w:pPr>
    </w:p>
    <w:p>
      <w:pPr>
        <w:ind w:left="220"/>
        <w:spacing w:after="0" w:line="287" w:lineRule="auto"/>
        <w:rPr>
          <w:sz w:val="20"/>
          <w:szCs w:val="20"/>
          <w:color w:val="auto"/>
        </w:rPr>
      </w:pPr>
      <w:r>
        <w:rPr>
          <w:rFonts w:ascii="Arial" w:cs="Arial" w:eastAsia="Arial" w:hAnsi="Arial"/>
          <w:sz w:val="16"/>
          <w:szCs w:val="16"/>
          <w:color w:val="auto"/>
        </w:rPr>
        <w:t>Our C8051F family of 8-bit mixed-signal microcontrollers integrates intelligent data capture in the form of high-resolution data converters, a traditional MCU computing function, flash memory and a highly programmable set of communication interfaces in a single system on a chip. The combination of configurable high-performance analog, up to 100 Million Instructions Per Second (MIPS), 8051 core and in-system field programmability provides the user with design flexibility, improved time-to-market, superior system performance and greater end product differentiation. These products are designed for use in a large variety of end-markets, including the automotive, communications, consumer, industrial, medical and power management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466"/>
        <w:spacing w:after="0"/>
        <w:rPr>
          <w:sz w:val="20"/>
          <w:szCs w:val="20"/>
          <w:color w:val="auto"/>
        </w:rPr>
      </w:pPr>
      <w:r>
        <w:rPr>
          <w:rFonts w:ascii="Arial" w:cs="Arial" w:eastAsia="Arial" w:hAnsi="Arial"/>
          <w:sz w:val="14"/>
          <w:szCs w:val="14"/>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23152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66" w:hanging="366"/>
        <w:spacing w:after="0"/>
        <w:tabs>
          <w:tab w:leader="none" w:pos="366"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Industrial automation and control</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4"/>
        </w:numPr>
        <w:rPr>
          <w:rFonts w:ascii="Arial" w:cs="Arial" w:eastAsia="Arial" w:hAnsi="Arial"/>
          <w:sz w:val="18"/>
          <w:szCs w:val="18"/>
          <w:color w:val="auto"/>
        </w:rPr>
      </w:pPr>
      <w:r>
        <w:rPr>
          <w:rFonts w:ascii="Arial" w:cs="Arial" w:eastAsia="Arial" w:hAnsi="Arial"/>
          <w:sz w:val="18"/>
          <w:szCs w:val="18"/>
          <w:color w:val="auto"/>
        </w:rPr>
        <w:t>Automotive sensors and controls</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4"/>
        </w:numPr>
        <w:rPr>
          <w:rFonts w:ascii="Arial" w:cs="Arial" w:eastAsia="Arial" w:hAnsi="Arial"/>
          <w:sz w:val="18"/>
          <w:szCs w:val="18"/>
          <w:color w:val="auto"/>
        </w:rPr>
      </w:pPr>
      <w:r>
        <w:rPr>
          <w:rFonts w:ascii="Arial" w:cs="Arial" w:eastAsia="Arial" w:hAnsi="Arial"/>
          <w:sz w:val="18"/>
          <w:szCs w:val="18"/>
          <w:color w:val="auto"/>
        </w:rPr>
        <w:t>Medical instrumentation</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4"/>
        </w:numPr>
        <w:rPr>
          <w:rFonts w:ascii="Arial" w:cs="Arial" w:eastAsia="Arial" w:hAnsi="Arial"/>
          <w:sz w:val="15"/>
          <w:szCs w:val="15"/>
          <w:color w:val="auto"/>
        </w:rPr>
      </w:pPr>
      <w:r>
        <w:rPr>
          <w:rFonts w:ascii="Arial" w:cs="Arial" w:eastAsia="Arial" w:hAnsi="Arial"/>
          <w:sz w:val="15"/>
          <w:szCs w:val="15"/>
          <w:color w:val="auto"/>
        </w:rPr>
        <w:t>Electronic test and measurement equipment</w:t>
      </w:r>
    </w:p>
    <w:p>
      <w:pPr>
        <w:spacing w:after="0" w:line="259" w:lineRule="exact"/>
        <w:rPr>
          <w:rFonts w:ascii="Arial" w:cs="Arial" w:eastAsia="Arial" w:hAnsi="Arial"/>
          <w:sz w:val="15"/>
          <w:szCs w:val="15"/>
          <w:color w:val="auto"/>
        </w:rPr>
      </w:pPr>
    </w:p>
    <w:p>
      <w:pPr>
        <w:ind w:left="366" w:hanging="366"/>
        <w:spacing w:after="0"/>
        <w:tabs>
          <w:tab w:leader="none" w:pos="366"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Consumer electronics</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Computer peripherals</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4"/>
        </w:numPr>
        <w:rPr>
          <w:rFonts w:ascii="Arial" w:cs="Arial" w:eastAsia="Arial" w:hAnsi="Arial"/>
          <w:sz w:val="18"/>
          <w:szCs w:val="18"/>
          <w:color w:val="auto"/>
        </w:rPr>
      </w:pPr>
      <w:r>
        <w:rPr>
          <w:rFonts w:ascii="Arial" w:cs="Arial" w:eastAsia="Arial" w:hAnsi="Arial"/>
          <w:sz w:val="18"/>
          <w:szCs w:val="18"/>
          <w:color w:val="auto"/>
        </w:rPr>
        <w:t>White goods</w:t>
      </w:r>
    </w:p>
    <w:p>
      <w:pPr>
        <w:sectPr>
          <w:pgSz w:w="11900" w:h="16838" w:orient="portrait"/>
          <w:cols w:equalWidth="0" w:num="2">
            <w:col w:w="7480" w:space="294"/>
            <w:col w:w="3626"/>
          </w:cols>
          <w:pgMar w:left="240" w:top="131" w:right="25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 Areas and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260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Precision Clocks and Oscillators</w:t>
      </w:r>
    </w:p>
    <w:p>
      <w:pPr>
        <w:spacing w:after="0" w:line="8" w:lineRule="exact"/>
        <w:rPr>
          <w:sz w:val="20"/>
          <w:szCs w:val="20"/>
          <w:color w:val="auto"/>
        </w:rPr>
      </w:pPr>
    </w:p>
    <w:p>
      <w:pPr>
        <w:ind w:left="220" w:right="40"/>
        <w:spacing w:after="0" w:line="295" w:lineRule="auto"/>
        <w:rPr>
          <w:sz w:val="20"/>
          <w:szCs w:val="20"/>
          <w:color w:val="auto"/>
        </w:rPr>
      </w:pPr>
      <w:r>
        <w:rPr>
          <w:rFonts w:ascii="Arial" w:cs="Arial" w:eastAsia="Arial" w:hAnsi="Arial"/>
          <w:sz w:val="16"/>
          <w:szCs w:val="16"/>
          <w:color w:val="auto"/>
        </w:rPr>
        <w:t>Leveraging our DSPLL® technology to offer frequency agile, extremely low jitter clock and oscillator products, these devices replace traditional solutions implemented using expensive, bulky modules, numerous crystal sources, complicated discrete circuitry requiring numerous components, or hybrid IC/discrete solutions that offer limited functionality.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EZRadio® Short-Range Wireless Transceivers</w:t>
      </w:r>
    </w:p>
    <w:p>
      <w:pPr>
        <w:spacing w:after="0" w:line="15" w:lineRule="exact"/>
        <w:rPr>
          <w:sz w:val="20"/>
          <w:szCs w:val="20"/>
          <w:color w:val="auto"/>
        </w:rPr>
      </w:pPr>
    </w:p>
    <w:p>
      <w:pPr>
        <w:ind w:left="220"/>
        <w:spacing w:after="0" w:line="254" w:lineRule="auto"/>
        <w:rPr>
          <w:sz w:val="20"/>
          <w:szCs w:val="20"/>
          <w:color w:val="auto"/>
        </w:rPr>
      </w:pPr>
      <w:r>
        <w:rPr>
          <w:rFonts w:ascii="Arial" w:cs="Arial" w:eastAsia="Arial" w:hAnsi="Arial"/>
          <w:sz w:val="18"/>
          <w:szCs w:val="18"/>
          <w:color w:val="auto"/>
        </w:rPr>
        <w:t>Our EZRadio family of fully integrated, low power, low data rate and low cost short range wireless ICs are designed to meet the needs of customers developing applications requiring a secure, point to point transmission such as industrial monitoring and control. These products are still in the early stages of customer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Isolators and Related Products</w:t>
      </w:r>
    </w:p>
    <w:p>
      <w:pPr>
        <w:spacing w:after="0" w:line="15" w:lineRule="exact"/>
        <w:rPr>
          <w:sz w:val="20"/>
          <w:szCs w:val="20"/>
          <w:color w:val="auto"/>
        </w:rPr>
      </w:pPr>
    </w:p>
    <w:p>
      <w:pPr>
        <w:ind w:left="220"/>
        <w:spacing w:after="0" w:line="255" w:lineRule="auto"/>
        <w:rPr>
          <w:sz w:val="20"/>
          <w:szCs w:val="20"/>
          <w:color w:val="auto"/>
        </w:rPr>
      </w:pPr>
      <w:r>
        <w:rPr>
          <w:rFonts w:ascii="Arial" w:cs="Arial" w:eastAsia="Arial" w:hAnsi="Arial"/>
          <w:sz w:val="18"/>
          <w:szCs w:val="18"/>
          <w:color w:val="auto"/>
        </w:rPr>
        <w:t>Our digital isolators and related products leverage patented isolation techniques to enable, for example, multiple channels of isolation on a single device, simplifying design and reducing system cost. These products are still in the early stages of customer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Interface Sensors</w:t>
      </w:r>
    </w:p>
    <w:p>
      <w:pPr>
        <w:spacing w:after="0" w:line="15" w:lineRule="exact"/>
        <w:rPr>
          <w:sz w:val="20"/>
          <w:szCs w:val="20"/>
          <w:color w:val="auto"/>
        </w:rPr>
      </w:pPr>
    </w:p>
    <w:p>
      <w:pPr>
        <w:ind w:left="220" w:right="140"/>
        <w:spacing w:after="0" w:line="254" w:lineRule="auto"/>
        <w:rPr>
          <w:sz w:val="20"/>
          <w:szCs w:val="20"/>
          <w:color w:val="auto"/>
        </w:rPr>
      </w:pPr>
      <w:r>
        <w:rPr>
          <w:rFonts w:ascii="Arial" w:cs="Arial" w:eastAsia="Arial" w:hAnsi="Arial"/>
          <w:sz w:val="18"/>
          <w:szCs w:val="18"/>
          <w:color w:val="auto"/>
        </w:rPr>
        <w:t>Our QuickSense™ family of human interface products includes touch sensors, proximity sensors and ambient light sensors. These devices leverage our mixed-signal capability to provide high accuracy, quicker response time and lower power consumption than competing parts. These products are in the early stages of customer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Broadcast Radio Receivers and Transmitters</w:t>
      </w:r>
    </w:p>
    <w:p>
      <w:pPr>
        <w:spacing w:after="0" w:line="15" w:lineRule="exact"/>
        <w:rPr>
          <w:sz w:val="20"/>
          <w:szCs w:val="20"/>
          <w:color w:val="auto"/>
        </w:rPr>
      </w:pPr>
    </w:p>
    <w:p>
      <w:pPr>
        <w:ind w:left="220" w:right="100"/>
        <w:spacing w:after="0" w:line="290" w:lineRule="auto"/>
        <w:rPr>
          <w:sz w:val="20"/>
          <w:szCs w:val="20"/>
          <w:color w:val="auto"/>
        </w:rPr>
      </w:pPr>
      <w:r>
        <w:rPr>
          <w:rFonts w:ascii="Arial" w:cs="Arial" w:eastAsia="Arial" w:hAnsi="Arial"/>
          <w:sz w:val="16"/>
          <w:szCs w:val="16"/>
          <w:color w:val="auto"/>
        </w:rPr>
        <w:t>Our FM and AM receivers deliver the entire tuner from antenna input to audio output in a single chip. Ideal for portable audio applications, the broadcast audio products are based on an innovative digital architecture that enables significant improvements in performance, which translates to a better consumer experience, while reducing system cost and board space for our customers. The AM/FM receivers enable AM and/or FM radio in virtually any device and the transmitters allow customers to cost effectively add wireless AM/FM audio playback capability to any portable media device.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1466"/>
        <w:spacing w:after="0"/>
        <w:rPr>
          <w:sz w:val="20"/>
          <w:szCs w:val="20"/>
          <w:color w:val="auto"/>
        </w:rPr>
      </w:pPr>
      <w:r>
        <w:rPr>
          <w:rFonts w:ascii="Arial" w:cs="Arial" w:eastAsia="Arial" w:hAnsi="Arial"/>
          <w:sz w:val="14"/>
          <w:szCs w:val="14"/>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23152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02" w:lineRule="exact"/>
        <w:rPr>
          <w:sz w:val="20"/>
          <w:szCs w:val="20"/>
          <w:color w:val="auto"/>
        </w:rPr>
      </w:pPr>
    </w:p>
    <w:p>
      <w:pPr>
        <w:ind w:left="366" w:hanging="366"/>
        <w:spacing w:after="0"/>
        <w:tabs>
          <w:tab w:leader="none" w:pos="366"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Networking equipment</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5"/>
        </w:numPr>
        <w:rPr>
          <w:rFonts w:ascii="Arial" w:cs="Arial" w:eastAsia="Arial" w:hAnsi="Arial"/>
          <w:sz w:val="18"/>
          <w:szCs w:val="18"/>
          <w:color w:val="auto"/>
        </w:rPr>
      </w:pPr>
      <w:r>
        <w:rPr>
          <w:rFonts w:ascii="Arial" w:cs="Arial" w:eastAsia="Arial" w:hAnsi="Arial"/>
          <w:sz w:val="18"/>
          <w:szCs w:val="18"/>
          <w:color w:val="auto"/>
        </w:rPr>
        <w:t>Telecommunications</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5"/>
        </w:numPr>
        <w:rPr>
          <w:rFonts w:ascii="Arial" w:cs="Arial" w:eastAsia="Arial" w:hAnsi="Arial"/>
          <w:sz w:val="18"/>
          <w:szCs w:val="18"/>
          <w:color w:val="auto"/>
        </w:rPr>
      </w:pPr>
      <w:r>
        <w:rPr>
          <w:rFonts w:ascii="Arial" w:cs="Arial" w:eastAsia="Arial" w:hAnsi="Arial"/>
          <w:sz w:val="18"/>
          <w:szCs w:val="18"/>
          <w:color w:val="auto"/>
        </w:rPr>
        <w:t>Wireless base stations</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5"/>
        </w:numPr>
        <w:rPr>
          <w:rFonts w:ascii="Arial" w:cs="Arial" w:eastAsia="Arial" w:hAnsi="Arial"/>
          <w:sz w:val="15"/>
          <w:szCs w:val="15"/>
          <w:color w:val="auto"/>
        </w:rPr>
      </w:pPr>
      <w:r>
        <w:rPr>
          <w:rFonts w:ascii="Arial" w:cs="Arial" w:eastAsia="Arial" w:hAnsi="Arial"/>
          <w:sz w:val="15"/>
          <w:szCs w:val="15"/>
          <w:color w:val="auto"/>
        </w:rPr>
        <w:t>Test and measurement equipment</w:t>
      </w:r>
    </w:p>
    <w:p>
      <w:pPr>
        <w:spacing w:after="0" w:line="259" w:lineRule="exact"/>
        <w:rPr>
          <w:rFonts w:ascii="Arial" w:cs="Arial" w:eastAsia="Arial" w:hAnsi="Arial"/>
          <w:sz w:val="15"/>
          <w:szCs w:val="15"/>
          <w:color w:val="auto"/>
        </w:rPr>
      </w:pPr>
    </w:p>
    <w:p>
      <w:pPr>
        <w:ind w:left="366" w:hanging="366"/>
        <w:spacing w:after="0"/>
        <w:tabs>
          <w:tab w:leader="none" w:pos="366" w:val="left"/>
        </w:tabs>
        <w:numPr>
          <w:ilvl w:val="0"/>
          <w:numId w:val="5"/>
        </w:numPr>
        <w:rPr>
          <w:rFonts w:ascii="Arial" w:cs="Arial" w:eastAsia="Arial" w:hAnsi="Arial"/>
          <w:sz w:val="18"/>
          <w:szCs w:val="18"/>
          <w:color w:val="auto"/>
        </w:rPr>
      </w:pPr>
      <w:r>
        <w:rPr>
          <w:rFonts w:ascii="Arial" w:cs="Arial" w:eastAsia="Arial" w:hAnsi="Arial"/>
          <w:sz w:val="18"/>
          <w:szCs w:val="18"/>
          <w:color w:val="auto"/>
        </w:rPr>
        <w:t>HDTV video</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High-speed data acquisition</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5"/>
        </w:numPr>
        <w:rPr>
          <w:rFonts w:ascii="Arial" w:cs="Arial" w:eastAsia="Arial" w:hAnsi="Arial"/>
          <w:sz w:val="18"/>
          <w:szCs w:val="18"/>
          <w:color w:val="auto"/>
        </w:rPr>
      </w:pPr>
      <w:r>
        <w:rPr>
          <w:rFonts w:ascii="Arial" w:cs="Arial" w:eastAsia="Arial" w:hAnsi="Arial"/>
          <w:sz w:val="18"/>
          <w:szCs w:val="18"/>
          <w:color w:val="auto"/>
        </w:rPr>
        <w:t>SONET/SDH line cards</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Storage area networks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66" w:hanging="366"/>
        <w:spacing w:after="0"/>
        <w:tabs>
          <w:tab w:leader="none" w:pos="366" w:val="left"/>
        </w:tabs>
        <w:numPr>
          <w:ilvl w:val="0"/>
          <w:numId w:val="5"/>
        </w:numPr>
        <w:rPr>
          <w:rFonts w:ascii="Arial" w:cs="Arial" w:eastAsia="Arial" w:hAnsi="Arial"/>
          <w:sz w:val="18"/>
          <w:szCs w:val="18"/>
          <w:color w:val="auto"/>
        </w:rPr>
      </w:pPr>
      <w:r>
        <w:rPr>
          <w:rFonts w:ascii="Arial" w:cs="Arial" w:eastAsia="Arial" w:hAnsi="Arial"/>
          <w:sz w:val="18"/>
          <w:szCs w:val="18"/>
          <w:color w:val="auto"/>
        </w:rPr>
        <w:t>Remote keyless entry</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5"/>
        </w:numPr>
        <w:rPr>
          <w:rFonts w:ascii="Arial" w:cs="Arial" w:eastAsia="Arial" w:hAnsi="Arial"/>
          <w:sz w:val="18"/>
          <w:szCs w:val="18"/>
          <w:color w:val="auto"/>
        </w:rPr>
      </w:pPr>
      <w:r>
        <w:rPr>
          <w:rFonts w:ascii="Arial" w:cs="Arial" w:eastAsia="Arial" w:hAnsi="Arial"/>
          <w:sz w:val="18"/>
          <w:szCs w:val="18"/>
          <w:color w:val="auto"/>
        </w:rPr>
        <w:t>Home security monitors</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5"/>
        </w:numPr>
        <w:rPr>
          <w:rFonts w:ascii="Arial" w:cs="Arial" w:eastAsia="Arial" w:hAnsi="Arial"/>
          <w:sz w:val="18"/>
          <w:szCs w:val="18"/>
          <w:color w:val="auto"/>
        </w:rPr>
      </w:pPr>
      <w:r>
        <w:rPr>
          <w:rFonts w:ascii="Arial" w:cs="Arial" w:eastAsia="Arial" w:hAnsi="Arial"/>
          <w:sz w:val="18"/>
          <w:szCs w:val="18"/>
          <w:color w:val="auto"/>
        </w:rPr>
        <w:t>Automated Meter Readers</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5"/>
        </w:numPr>
        <w:rPr>
          <w:rFonts w:ascii="Arial" w:cs="Arial" w:eastAsia="Arial" w:hAnsi="Arial"/>
          <w:sz w:val="18"/>
          <w:szCs w:val="18"/>
          <w:color w:val="auto"/>
        </w:rPr>
      </w:pPr>
      <w:r>
        <w:rPr>
          <w:rFonts w:ascii="Arial" w:cs="Arial" w:eastAsia="Arial" w:hAnsi="Arial"/>
          <w:sz w:val="18"/>
          <w:szCs w:val="18"/>
          <w:color w:val="auto"/>
        </w:rPr>
        <w:t>Remote controls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66" w:hanging="366"/>
        <w:spacing w:after="0"/>
        <w:tabs>
          <w:tab w:leader="none" w:pos="366" w:val="left"/>
        </w:tabs>
        <w:numPr>
          <w:ilvl w:val="0"/>
          <w:numId w:val="5"/>
        </w:numPr>
        <w:rPr>
          <w:rFonts w:ascii="Arial" w:cs="Arial" w:eastAsia="Arial" w:hAnsi="Arial"/>
          <w:sz w:val="18"/>
          <w:szCs w:val="18"/>
          <w:color w:val="auto"/>
        </w:rPr>
      </w:pPr>
      <w:r>
        <w:rPr>
          <w:rFonts w:ascii="Arial" w:cs="Arial" w:eastAsia="Arial" w:hAnsi="Arial"/>
          <w:sz w:val="18"/>
          <w:szCs w:val="18"/>
          <w:color w:val="auto"/>
        </w:rPr>
        <w:t>Switch mode power supplies</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5"/>
        </w:numPr>
        <w:rPr>
          <w:rFonts w:ascii="Arial" w:cs="Arial" w:eastAsia="Arial" w:hAnsi="Arial"/>
          <w:sz w:val="16"/>
          <w:szCs w:val="16"/>
          <w:color w:val="auto"/>
        </w:rPr>
      </w:pPr>
      <w:r>
        <w:rPr>
          <w:rFonts w:ascii="Arial" w:cs="Arial" w:eastAsia="Arial" w:hAnsi="Arial"/>
          <w:sz w:val="16"/>
          <w:szCs w:val="16"/>
          <w:color w:val="auto"/>
        </w:rPr>
        <w:t>Isolated analog data acquisition</w:t>
      </w:r>
    </w:p>
    <w:p>
      <w:pPr>
        <w:spacing w:after="0" w:line="248" w:lineRule="exact"/>
        <w:rPr>
          <w:rFonts w:ascii="Arial" w:cs="Arial" w:eastAsia="Arial" w:hAnsi="Arial"/>
          <w:sz w:val="16"/>
          <w:szCs w:val="16"/>
          <w:color w:val="auto"/>
        </w:rPr>
      </w:pPr>
    </w:p>
    <w:p>
      <w:pPr>
        <w:ind w:left="366" w:hanging="366"/>
        <w:spacing w:after="0"/>
        <w:tabs>
          <w:tab w:leader="none" w:pos="366"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Industrial networking</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5"/>
        </w:numPr>
        <w:rPr>
          <w:rFonts w:ascii="Arial" w:cs="Arial" w:eastAsia="Arial" w:hAnsi="Arial"/>
          <w:sz w:val="18"/>
          <w:szCs w:val="18"/>
          <w:color w:val="auto"/>
        </w:rPr>
      </w:pPr>
      <w:r>
        <w:rPr>
          <w:rFonts w:ascii="Arial" w:cs="Arial" w:eastAsia="Arial" w:hAnsi="Arial"/>
          <w:sz w:val="18"/>
          <w:szCs w:val="18"/>
          <w:color w:val="auto"/>
        </w:rPr>
        <w:t>Motor control</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5"/>
        </w:numPr>
        <w:rPr>
          <w:rFonts w:ascii="Arial" w:cs="Arial" w:eastAsia="Arial" w:hAnsi="Arial"/>
          <w:sz w:val="18"/>
          <w:szCs w:val="18"/>
          <w:color w:val="auto"/>
        </w:rPr>
      </w:pPr>
      <w:r>
        <w:rPr>
          <w:rFonts w:ascii="Arial" w:cs="Arial" w:eastAsia="Arial" w:hAnsi="Arial"/>
          <w:sz w:val="18"/>
          <w:szCs w:val="18"/>
          <w:color w:val="auto"/>
        </w:rPr>
        <w:t>Isolated DC-DC supplies</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Electronic ballasts for lighting</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66" w:hanging="366"/>
        <w:spacing w:after="0"/>
        <w:tabs>
          <w:tab w:leader="none" w:pos="366" w:val="left"/>
        </w:tabs>
        <w:numPr>
          <w:ilvl w:val="0"/>
          <w:numId w:val="5"/>
        </w:numPr>
        <w:rPr>
          <w:rFonts w:ascii="Arial" w:cs="Arial" w:eastAsia="Arial" w:hAnsi="Arial"/>
          <w:sz w:val="18"/>
          <w:szCs w:val="18"/>
          <w:color w:val="auto"/>
        </w:rPr>
      </w:pPr>
      <w:r>
        <w:rPr>
          <w:rFonts w:ascii="Arial" w:cs="Arial" w:eastAsia="Arial" w:hAnsi="Arial"/>
          <w:sz w:val="18"/>
          <w:szCs w:val="18"/>
          <w:color w:val="auto"/>
        </w:rPr>
        <w:t>Smartphones and handhelds</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Industrial controls</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5"/>
        </w:numPr>
        <w:rPr>
          <w:rFonts w:ascii="Arial" w:cs="Arial" w:eastAsia="Arial" w:hAnsi="Arial"/>
          <w:sz w:val="16"/>
          <w:szCs w:val="16"/>
          <w:color w:val="auto"/>
        </w:rPr>
      </w:pPr>
      <w:r>
        <w:rPr>
          <w:rFonts w:ascii="Arial" w:cs="Arial" w:eastAsia="Arial" w:hAnsi="Arial"/>
          <w:sz w:val="16"/>
          <w:szCs w:val="16"/>
          <w:color w:val="auto"/>
        </w:rPr>
        <w:t>Toys and consumer electronics</w:t>
      </w:r>
    </w:p>
    <w:p>
      <w:pPr>
        <w:spacing w:after="0" w:line="248" w:lineRule="exact"/>
        <w:rPr>
          <w:rFonts w:ascii="Arial" w:cs="Arial" w:eastAsia="Arial" w:hAnsi="Arial"/>
          <w:sz w:val="16"/>
          <w:szCs w:val="16"/>
          <w:color w:val="auto"/>
        </w:rPr>
      </w:pPr>
    </w:p>
    <w:p>
      <w:pPr>
        <w:ind w:left="366" w:hanging="366"/>
        <w:spacing w:after="0"/>
        <w:tabs>
          <w:tab w:leader="none" w:pos="366" w:val="left"/>
        </w:tabs>
        <w:numPr>
          <w:ilvl w:val="0"/>
          <w:numId w:val="5"/>
        </w:numPr>
        <w:rPr>
          <w:rFonts w:ascii="Arial" w:cs="Arial" w:eastAsia="Arial" w:hAnsi="Arial"/>
          <w:sz w:val="16"/>
          <w:szCs w:val="16"/>
          <w:color w:val="auto"/>
        </w:rPr>
      </w:pPr>
      <w:r>
        <w:rPr>
          <w:rFonts w:ascii="Arial" w:cs="Arial" w:eastAsia="Arial" w:hAnsi="Arial"/>
          <w:sz w:val="16"/>
          <w:szCs w:val="16"/>
          <w:color w:val="auto"/>
        </w:rPr>
        <w:t>Monitors and lavatory controls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6" w:lineRule="exact"/>
        <w:rPr>
          <w:rFonts w:ascii="Arial" w:cs="Arial" w:eastAsia="Arial" w:hAnsi="Arial"/>
          <w:sz w:val="16"/>
          <w:szCs w:val="16"/>
          <w:color w:val="auto"/>
        </w:rPr>
      </w:pPr>
    </w:p>
    <w:p>
      <w:pPr>
        <w:ind w:left="366" w:hanging="366"/>
        <w:spacing w:after="0"/>
        <w:tabs>
          <w:tab w:leader="none" w:pos="366" w:val="left"/>
        </w:tabs>
        <w:numPr>
          <w:ilvl w:val="0"/>
          <w:numId w:val="5"/>
        </w:numPr>
        <w:rPr>
          <w:rFonts w:ascii="Arial" w:cs="Arial" w:eastAsia="Arial" w:hAnsi="Arial"/>
          <w:sz w:val="18"/>
          <w:szCs w:val="18"/>
          <w:color w:val="auto"/>
        </w:rPr>
      </w:pPr>
      <w:r>
        <w:rPr>
          <w:rFonts w:ascii="Arial" w:cs="Arial" w:eastAsia="Arial" w:hAnsi="Arial"/>
          <w:sz w:val="18"/>
          <w:szCs w:val="18"/>
          <w:color w:val="auto"/>
        </w:rPr>
        <w:t>Mobile phones</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Stand-alone AM/FM radios</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5"/>
        </w:numPr>
        <w:rPr>
          <w:rFonts w:ascii="Arial" w:cs="Arial" w:eastAsia="Arial" w:hAnsi="Arial"/>
          <w:sz w:val="18"/>
          <w:szCs w:val="18"/>
          <w:color w:val="auto"/>
        </w:rPr>
      </w:pPr>
      <w:r>
        <w:rPr>
          <w:rFonts w:ascii="Arial" w:cs="Arial" w:eastAsia="Arial" w:hAnsi="Arial"/>
          <w:sz w:val="18"/>
          <w:szCs w:val="18"/>
          <w:color w:val="auto"/>
        </w:rPr>
        <w:t>Portable audio devices</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5"/>
        </w:numPr>
        <w:rPr>
          <w:rFonts w:ascii="Arial" w:cs="Arial" w:eastAsia="Arial" w:hAnsi="Arial"/>
          <w:sz w:val="18"/>
          <w:szCs w:val="18"/>
          <w:color w:val="auto"/>
        </w:rPr>
      </w:pPr>
      <w:r>
        <w:rPr>
          <w:rFonts w:ascii="Arial" w:cs="Arial" w:eastAsia="Arial" w:hAnsi="Arial"/>
          <w:sz w:val="18"/>
          <w:szCs w:val="18"/>
          <w:color w:val="auto"/>
        </w:rPr>
        <w:t>MP3/digital media players</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5"/>
        </w:numPr>
        <w:rPr>
          <w:rFonts w:ascii="Arial" w:cs="Arial" w:eastAsia="Arial" w:hAnsi="Arial"/>
          <w:sz w:val="18"/>
          <w:szCs w:val="18"/>
          <w:color w:val="auto"/>
        </w:rPr>
      </w:pPr>
      <w:r>
        <w:rPr>
          <w:rFonts w:ascii="Arial" w:cs="Arial" w:eastAsia="Arial" w:hAnsi="Arial"/>
          <w:sz w:val="18"/>
          <w:szCs w:val="18"/>
          <w:color w:val="auto"/>
        </w:rPr>
        <w:t>Navigation/GPS devices</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5"/>
        </w:numPr>
        <w:rPr>
          <w:rFonts w:ascii="Arial" w:cs="Arial" w:eastAsia="Arial" w:hAnsi="Arial"/>
          <w:sz w:val="18"/>
          <w:szCs w:val="18"/>
          <w:color w:val="auto"/>
        </w:rPr>
      </w:pPr>
      <w:r>
        <w:rPr>
          <w:rFonts w:ascii="Arial" w:cs="Arial" w:eastAsia="Arial" w:hAnsi="Arial"/>
          <w:sz w:val="18"/>
          <w:szCs w:val="18"/>
          <w:color w:val="auto"/>
        </w:rPr>
        <w:t>Satellite radios</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5"/>
        </w:numPr>
        <w:rPr>
          <w:rFonts w:ascii="Arial" w:cs="Arial" w:eastAsia="Arial" w:hAnsi="Arial"/>
          <w:sz w:val="18"/>
          <w:szCs w:val="18"/>
          <w:color w:val="auto"/>
        </w:rPr>
      </w:pPr>
      <w:r>
        <w:rPr>
          <w:rFonts w:ascii="Arial" w:cs="Arial" w:eastAsia="Arial" w:hAnsi="Arial"/>
          <w:sz w:val="18"/>
          <w:szCs w:val="18"/>
          <w:color w:val="auto"/>
        </w:rPr>
        <w:t>Home stereos</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5"/>
        </w:numPr>
        <w:rPr>
          <w:rFonts w:ascii="Arial" w:cs="Arial" w:eastAsia="Arial" w:hAnsi="Arial"/>
          <w:sz w:val="16"/>
          <w:szCs w:val="16"/>
          <w:color w:val="auto"/>
        </w:rPr>
      </w:pPr>
      <w:r>
        <w:rPr>
          <w:rFonts w:ascii="Arial" w:cs="Arial" w:eastAsia="Arial" w:hAnsi="Arial"/>
          <w:sz w:val="16"/>
          <w:szCs w:val="16"/>
          <w:color w:val="auto"/>
        </w:rPr>
        <w:t>Automotive infotainment systems</w:t>
      </w:r>
    </w:p>
    <w:p>
      <w:pPr>
        <w:spacing w:after="0" w:line="200" w:lineRule="exact"/>
        <w:rPr>
          <w:sz w:val="20"/>
          <w:szCs w:val="20"/>
          <w:color w:val="auto"/>
        </w:rPr>
      </w:pPr>
    </w:p>
    <w:p>
      <w:pPr>
        <w:sectPr>
          <w:pgSz w:w="11900" w:h="16838" w:orient="portrait"/>
          <w:cols w:equalWidth="0" w:num="2">
            <w:col w:w="7460" w:space="314"/>
            <w:col w:w="2746"/>
          </w:cols>
          <w:pgMar w:left="240" w:top="131" w:right="1139" w:bottom="909" w:gutter="0" w:footer="0" w:header="0"/>
        </w:sectPr>
      </w:pPr>
    </w:p>
    <w:p>
      <w:pPr>
        <w:spacing w:after="0" w:line="48"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131" w:right="1139" w:bottom="909"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 Areas and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260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Video tuners and demodulators</w:t>
      </w:r>
    </w:p>
    <w:p>
      <w:pPr>
        <w:spacing w:after="0" w:line="8" w:lineRule="exact"/>
        <w:rPr>
          <w:sz w:val="20"/>
          <w:szCs w:val="20"/>
          <w:color w:val="auto"/>
        </w:rPr>
      </w:pPr>
    </w:p>
    <w:p>
      <w:pPr>
        <w:ind w:left="220"/>
        <w:spacing w:after="0" w:line="290" w:lineRule="auto"/>
        <w:rPr>
          <w:sz w:val="20"/>
          <w:szCs w:val="20"/>
          <w:color w:val="auto"/>
        </w:rPr>
      </w:pPr>
      <w:r>
        <w:rPr>
          <w:rFonts w:ascii="Arial" w:cs="Arial" w:eastAsia="Arial" w:hAnsi="Arial"/>
          <w:sz w:val="16"/>
          <w:szCs w:val="16"/>
          <w:color w:val="auto"/>
        </w:rPr>
        <w:t>Our complete, globally-compliant hybrid TV tuner with analog TV demodulator in a single CMOS IC leverages our proven digital low-IF architecture and exceeds the performance of traditional discrete TV tuners, enabling TV makers to deliver improved picture quality and better reception for both analog and digital broadcasts. Our small, low power and high performance digital video demodulators support DVB-T, DVB-C and fixed reception DVB-H in a single chip and are ideal for equipment receiving digital terrestrial and/or cable services.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ISOmodem® Embedded Modems</w:t>
      </w:r>
    </w:p>
    <w:p>
      <w:pPr>
        <w:spacing w:after="0" w:line="15" w:lineRule="exact"/>
        <w:rPr>
          <w:sz w:val="20"/>
          <w:szCs w:val="20"/>
          <w:color w:val="auto"/>
        </w:rPr>
      </w:pPr>
    </w:p>
    <w:p>
      <w:pPr>
        <w:ind w:left="220" w:right="40"/>
        <w:spacing w:after="0" w:line="254" w:lineRule="auto"/>
        <w:rPr>
          <w:sz w:val="20"/>
          <w:szCs w:val="20"/>
          <w:color w:val="auto"/>
        </w:rPr>
      </w:pPr>
      <w:r>
        <w:rPr>
          <w:rFonts w:ascii="Arial" w:cs="Arial" w:eastAsia="Arial" w:hAnsi="Arial"/>
          <w:sz w:val="18"/>
          <w:szCs w:val="18"/>
          <w:color w:val="auto"/>
        </w:rPr>
        <w:t>The ISOmodem embedded modems leverage innovative silicon direct access arrangement (DAA) technology and a digital signal processor to deliver a globally compliant, very small analog modem for embedded applications like set-top boxes, Personal Video Recorders (PVRs) and fax capability in multi-function printers.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ProSLIC® Subscriber Line Interface Circuits</w:t>
      </w:r>
    </w:p>
    <w:p>
      <w:pPr>
        <w:spacing w:after="0" w:line="15" w:lineRule="exact"/>
        <w:rPr>
          <w:sz w:val="20"/>
          <w:szCs w:val="20"/>
          <w:color w:val="auto"/>
        </w:rPr>
      </w:pPr>
    </w:p>
    <w:p>
      <w:pPr>
        <w:ind w:left="220" w:right="40"/>
        <w:spacing w:after="0" w:line="295" w:lineRule="auto"/>
        <w:rPr>
          <w:sz w:val="20"/>
          <w:szCs w:val="20"/>
          <w:color w:val="auto"/>
        </w:rPr>
      </w:pPr>
      <w:r>
        <w:rPr>
          <w:rFonts w:ascii="Arial" w:cs="Arial" w:eastAsia="Arial" w:hAnsi="Arial"/>
          <w:sz w:val="16"/>
          <w:szCs w:val="16"/>
          <w:color w:val="auto"/>
        </w:rPr>
        <w:t>Our ProSLIC provides the analog subscriber line interface on the source end of the telephone which generates dial tone, busy tone, caller ID and ring signal. Our ProSLIC product family has offerings for short-haul applications suitable for the customer premises as well as long-haul applications suitable for the traditional telephone company central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over Ethernet</w:t>
      </w:r>
    </w:p>
    <w:p>
      <w:pPr>
        <w:spacing w:after="0" w:line="15" w:lineRule="exact"/>
        <w:rPr>
          <w:sz w:val="20"/>
          <w:szCs w:val="20"/>
          <w:color w:val="auto"/>
        </w:rPr>
      </w:pPr>
    </w:p>
    <w:p>
      <w:pPr>
        <w:ind w:left="220" w:right="40"/>
        <w:spacing w:after="0" w:line="254" w:lineRule="auto"/>
        <w:rPr>
          <w:sz w:val="20"/>
          <w:szCs w:val="20"/>
          <w:color w:val="auto"/>
        </w:rPr>
      </w:pPr>
      <w:r>
        <w:rPr>
          <w:rFonts w:ascii="Arial" w:cs="Arial" w:eastAsia="Arial" w:hAnsi="Arial"/>
          <w:sz w:val="18"/>
          <w:szCs w:val="18"/>
          <w:color w:val="auto"/>
        </w:rPr>
        <w:t>Our Power over Ethernet (PoE) Power Source Equipment and Powered Device ICs offer highly differentiated solutions with a reduced total bill of materials (BOM) cost and improved performance and reliability. Our solutions also offer an integration level that enables functionality not available with competing solutions.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1466"/>
        <w:spacing w:after="0"/>
        <w:rPr>
          <w:sz w:val="20"/>
          <w:szCs w:val="20"/>
          <w:color w:val="auto"/>
        </w:rPr>
      </w:pPr>
      <w:r>
        <w:rPr>
          <w:rFonts w:ascii="Arial" w:cs="Arial" w:eastAsia="Arial" w:hAnsi="Arial"/>
          <w:sz w:val="14"/>
          <w:szCs w:val="14"/>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23152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02" w:lineRule="exact"/>
        <w:rPr>
          <w:sz w:val="20"/>
          <w:szCs w:val="20"/>
          <w:color w:val="auto"/>
        </w:rPr>
      </w:pPr>
    </w:p>
    <w:p>
      <w:pPr>
        <w:ind w:left="366" w:hanging="366"/>
        <w:spacing w:after="0"/>
        <w:tabs>
          <w:tab w:leader="none" w:pos="366"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Integrated digital televisions (iDTV)</w:t>
      </w:r>
    </w:p>
    <w:p>
      <w:pPr>
        <w:spacing w:after="0" w:line="225" w:lineRule="exact"/>
        <w:rPr>
          <w:rFonts w:ascii="Arial" w:cs="Arial" w:eastAsia="Arial" w:hAnsi="Arial"/>
          <w:sz w:val="18"/>
          <w:szCs w:val="18"/>
          <w:color w:val="auto"/>
        </w:rPr>
      </w:pPr>
    </w:p>
    <w:p>
      <w:pPr>
        <w:ind w:left="366" w:right="220" w:hanging="366"/>
        <w:spacing w:after="0" w:line="268" w:lineRule="auto"/>
        <w:tabs>
          <w:tab w:leader="none" w:pos="419" w:val="left"/>
        </w:tabs>
        <w:numPr>
          <w:ilvl w:val="0"/>
          <w:numId w:val="6"/>
        </w:numPr>
        <w:rPr>
          <w:rFonts w:ascii="Arial" w:cs="Arial" w:eastAsia="Arial" w:hAnsi="Arial"/>
          <w:sz w:val="18"/>
          <w:szCs w:val="18"/>
          <w:color w:val="auto"/>
        </w:rPr>
      </w:pPr>
      <w:r>
        <w:rPr>
          <w:rFonts w:ascii="Arial" w:cs="Arial" w:eastAsia="Arial" w:hAnsi="Arial"/>
          <w:sz w:val="18"/>
          <w:szCs w:val="18"/>
          <w:color w:val="auto"/>
        </w:rPr>
        <w:t>Free-to-Air (FtA) or pay-TV set-top box receivers</w:t>
      </w:r>
    </w:p>
    <w:p>
      <w:pPr>
        <w:spacing w:after="0" w:line="185" w:lineRule="exact"/>
        <w:rPr>
          <w:rFonts w:ascii="Arial" w:cs="Arial" w:eastAsia="Arial" w:hAnsi="Arial"/>
          <w:sz w:val="18"/>
          <w:szCs w:val="18"/>
          <w:color w:val="auto"/>
        </w:rPr>
      </w:pPr>
    </w:p>
    <w:p>
      <w:pPr>
        <w:ind w:left="366" w:hanging="366"/>
        <w:spacing w:after="0"/>
        <w:tabs>
          <w:tab w:leader="none" w:pos="366" w:val="left"/>
        </w:tabs>
        <w:numPr>
          <w:ilvl w:val="0"/>
          <w:numId w:val="6"/>
        </w:numPr>
        <w:rPr>
          <w:rFonts w:ascii="Arial" w:cs="Arial" w:eastAsia="Arial" w:hAnsi="Arial"/>
          <w:sz w:val="18"/>
          <w:szCs w:val="18"/>
          <w:color w:val="auto"/>
        </w:rPr>
      </w:pPr>
      <w:r>
        <w:rPr>
          <w:rFonts w:ascii="Arial" w:cs="Arial" w:eastAsia="Arial" w:hAnsi="Arial"/>
          <w:sz w:val="18"/>
          <w:szCs w:val="18"/>
          <w:color w:val="auto"/>
        </w:rPr>
        <w:t>PC-TV applications</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6"/>
        </w:numPr>
        <w:rPr>
          <w:rFonts w:ascii="Arial" w:cs="Arial" w:eastAsia="Arial" w:hAnsi="Arial"/>
          <w:sz w:val="18"/>
          <w:szCs w:val="18"/>
          <w:color w:val="auto"/>
        </w:rPr>
      </w:pPr>
      <w:r>
        <w:rPr>
          <w:rFonts w:ascii="Arial" w:cs="Arial" w:eastAsia="Arial" w:hAnsi="Arial"/>
          <w:sz w:val="18"/>
          <w:szCs w:val="18"/>
          <w:color w:val="auto"/>
        </w:rPr>
        <w:t>DVD/HDD personal video recorders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366" w:hanging="366"/>
        <w:spacing w:after="0"/>
        <w:tabs>
          <w:tab w:leader="none" w:pos="366" w:val="left"/>
        </w:tabs>
        <w:numPr>
          <w:ilvl w:val="0"/>
          <w:numId w:val="6"/>
        </w:numPr>
        <w:rPr>
          <w:rFonts w:ascii="Arial" w:cs="Arial" w:eastAsia="Arial" w:hAnsi="Arial"/>
          <w:sz w:val="18"/>
          <w:szCs w:val="18"/>
          <w:color w:val="auto"/>
        </w:rPr>
      </w:pPr>
      <w:r>
        <w:rPr>
          <w:rFonts w:ascii="Arial" w:cs="Arial" w:eastAsia="Arial" w:hAnsi="Arial"/>
          <w:sz w:val="18"/>
          <w:szCs w:val="18"/>
          <w:color w:val="auto"/>
        </w:rPr>
        <w:t>Set-top and digital cable boxes</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Industrial monitoring</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Postage meters</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Security systems</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6"/>
        </w:numPr>
        <w:rPr>
          <w:rFonts w:ascii="Arial" w:cs="Arial" w:eastAsia="Arial" w:hAnsi="Arial"/>
          <w:sz w:val="18"/>
          <w:szCs w:val="18"/>
          <w:color w:val="auto"/>
        </w:rPr>
      </w:pPr>
      <w:r>
        <w:rPr>
          <w:rFonts w:ascii="Arial" w:cs="Arial" w:eastAsia="Arial" w:hAnsi="Arial"/>
          <w:sz w:val="18"/>
          <w:szCs w:val="18"/>
          <w:color w:val="auto"/>
        </w:rPr>
        <w:t>Remote medical monitoring</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6"/>
        </w:numPr>
        <w:rPr>
          <w:rFonts w:ascii="Arial" w:cs="Arial" w:eastAsia="Arial" w:hAnsi="Arial"/>
          <w:sz w:val="18"/>
          <w:szCs w:val="18"/>
          <w:color w:val="auto"/>
        </w:rPr>
      </w:pPr>
      <w:r>
        <w:rPr>
          <w:rFonts w:ascii="Arial" w:cs="Arial" w:eastAsia="Arial" w:hAnsi="Arial"/>
          <w:sz w:val="18"/>
          <w:szCs w:val="18"/>
          <w:color w:val="auto"/>
        </w:rPr>
        <w:t>Gaming consoles</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6"/>
        </w:numPr>
        <w:rPr>
          <w:rFonts w:ascii="Arial" w:cs="Arial" w:eastAsia="Arial" w:hAnsi="Arial"/>
          <w:sz w:val="18"/>
          <w:szCs w:val="18"/>
          <w:color w:val="auto"/>
        </w:rPr>
      </w:pPr>
      <w:r>
        <w:rPr>
          <w:rFonts w:ascii="Arial" w:cs="Arial" w:eastAsia="Arial" w:hAnsi="Arial"/>
          <w:sz w:val="18"/>
          <w:szCs w:val="18"/>
          <w:color w:val="auto"/>
        </w:rPr>
        <w:t>PVRs</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6"/>
        </w:numPr>
        <w:rPr>
          <w:rFonts w:ascii="Arial" w:cs="Arial" w:eastAsia="Arial" w:hAnsi="Arial"/>
          <w:sz w:val="18"/>
          <w:szCs w:val="18"/>
          <w:color w:val="auto"/>
        </w:rPr>
      </w:pPr>
      <w:r>
        <w:rPr>
          <w:rFonts w:ascii="Arial" w:cs="Arial" w:eastAsia="Arial" w:hAnsi="Arial"/>
          <w:sz w:val="18"/>
          <w:szCs w:val="18"/>
          <w:color w:val="auto"/>
        </w:rPr>
        <w:t>Point of sale (POS) terminals</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6"/>
        </w:numPr>
        <w:rPr>
          <w:rFonts w:ascii="Arial" w:cs="Arial" w:eastAsia="Arial" w:hAnsi="Arial"/>
          <w:sz w:val="16"/>
          <w:szCs w:val="16"/>
          <w:color w:val="auto"/>
        </w:rPr>
      </w:pPr>
      <w:r>
        <w:rPr>
          <w:rFonts w:ascii="Arial" w:cs="Arial" w:eastAsia="Arial" w:hAnsi="Arial"/>
          <w:sz w:val="16"/>
          <w:szCs w:val="16"/>
          <w:color w:val="auto"/>
        </w:rPr>
        <w:t>Fax machines and multi-function printers</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366" w:hanging="366"/>
        <w:spacing w:after="0"/>
        <w:tabs>
          <w:tab w:leader="none" w:pos="366" w:val="left"/>
        </w:tabs>
        <w:numPr>
          <w:ilvl w:val="0"/>
          <w:numId w:val="6"/>
        </w:numPr>
        <w:rPr>
          <w:rFonts w:ascii="Arial" w:cs="Arial" w:eastAsia="Arial" w:hAnsi="Arial"/>
          <w:sz w:val="16"/>
          <w:szCs w:val="16"/>
          <w:color w:val="auto"/>
        </w:rPr>
      </w:pPr>
      <w:r>
        <w:rPr>
          <w:rFonts w:ascii="Arial" w:cs="Arial" w:eastAsia="Arial" w:hAnsi="Arial"/>
          <w:sz w:val="16"/>
          <w:szCs w:val="16"/>
          <w:color w:val="auto"/>
        </w:rPr>
        <w:t>Wireless local loop remote access systems</w:t>
      </w:r>
    </w:p>
    <w:p>
      <w:pPr>
        <w:spacing w:after="0" w:line="248" w:lineRule="exact"/>
        <w:rPr>
          <w:rFonts w:ascii="Arial" w:cs="Arial" w:eastAsia="Arial" w:hAnsi="Arial"/>
          <w:sz w:val="16"/>
          <w:szCs w:val="16"/>
          <w:color w:val="auto"/>
        </w:rPr>
      </w:pPr>
    </w:p>
    <w:p>
      <w:pPr>
        <w:ind w:left="366" w:hanging="366"/>
        <w:spacing w:after="0" w:line="268" w:lineRule="auto"/>
        <w:tabs>
          <w:tab w:leader="none" w:pos="375" w:val="left"/>
        </w:tabs>
        <w:numPr>
          <w:ilvl w:val="0"/>
          <w:numId w:val="6"/>
        </w:numPr>
        <w:rPr>
          <w:rFonts w:ascii="Arial" w:cs="Arial" w:eastAsia="Arial" w:hAnsi="Arial"/>
          <w:sz w:val="18"/>
          <w:szCs w:val="18"/>
          <w:color w:val="auto"/>
        </w:rPr>
      </w:pPr>
      <w:r>
        <w:rPr>
          <w:rFonts w:ascii="Arial" w:cs="Arial" w:eastAsia="Arial" w:hAnsi="Arial"/>
          <w:sz w:val="18"/>
          <w:szCs w:val="18"/>
          <w:color w:val="auto"/>
        </w:rPr>
        <w:t>Voice over broadband modems and terminal adapters</w:t>
      </w:r>
    </w:p>
    <w:p>
      <w:pPr>
        <w:spacing w:after="0" w:line="185" w:lineRule="exact"/>
        <w:rPr>
          <w:rFonts w:ascii="Arial" w:cs="Arial" w:eastAsia="Arial" w:hAnsi="Arial"/>
          <w:sz w:val="18"/>
          <w:szCs w:val="18"/>
          <w:color w:val="auto"/>
        </w:rPr>
      </w:pPr>
    </w:p>
    <w:p>
      <w:pPr>
        <w:ind w:left="366" w:hanging="366"/>
        <w:spacing w:after="0"/>
        <w:tabs>
          <w:tab w:leader="none" w:pos="366" w:val="left"/>
        </w:tabs>
        <w:numPr>
          <w:ilvl w:val="0"/>
          <w:numId w:val="6"/>
        </w:numPr>
        <w:rPr>
          <w:rFonts w:ascii="Arial" w:cs="Arial" w:eastAsia="Arial" w:hAnsi="Arial"/>
          <w:sz w:val="18"/>
          <w:szCs w:val="18"/>
          <w:color w:val="auto"/>
        </w:rPr>
      </w:pPr>
      <w:r>
        <w:rPr>
          <w:rFonts w:ascii="Arial" w:cs="Arial" w:eastAsia="Arial" w:hAnsi="Arial"/>
          <w:sz w:val="18"/>
          <w:szCs w:val="18"/>
          <w:color w:val="auto"/>
        </w:rPr>
        <w:t>VoIP residential gateways</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6"/>
        </w:numPr>
        <w:rPr>
          <w:rFonts w:ascii="Arial" w:cs="Arial" w:eastAsia="Arial" w:hAnsi="Arial"/>
          <w:sz w:val="18"/>
          <w:szCs w:val="18"/>
          <w:color w:val="auto"/>
        </w:rPr>
      </w:pPr>
      <w:r>
        <w:rPr>
          <w:rFonts w:ascii="Arial" w:cs="Arial" w:eastAsia="Arial" w:hAnsi="Arial"/>
          <w:sz w:val="18"/>
          <w:szCs w:val="18"/>
          <w:color w:val="auto"/>
        </w:rPr>
        <w:t>PBXs</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6"/>
        </w:numPr>
        <w:rPr>
          <w:rFonts w:ascii="Arial" w:cs="Arial" w:eastAsia="Arial" w:hAnsi="Arial"/>
          <w:sz w:val="16"/>
          <w:szCs w:val="16"/>
          <w:color w:val="auto"/>
        </w:rPr>
      </w:pPr>
      <w:r>
        <w:rPr>
          <w:rFonts w:ascii="Arial" w:cs="Arial" w:eastAsia="Arial" w:hAnsi="Arial"/>
          <w:sz w:val="16"/>
          <w:szCs w:val="16"/>
          <w:color w:val="auto"/>
        </w:rPr>
        <w:t>Wired long loop and central office systems</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366" w:hanging="366"/>
        <w:spacing w:after="0"/>
        <w:tabs>
          <w:tab w:leader="none" w:pos="366" w:val="left"/>
        </w:tabs>
        <w:numPr>
          <w:ilvl w:val="0"/>
          <w:numId w:val="6"/>
        </w:numPr>
        <w:rPr>
          <w:rFonts w:ascii="Arial" w:cs="Arial" w:eastAsia="Arial" w:hAnsi="Arial"/>
          <w:sz w:val="18"/>
          <w:szCs w:val="18"/>
          <w:color w:val="auto"/>
        </w:rPr>
      </w:pPr>
      <w:r>
        <w:rPr>
          <w:rFonts w:ascii="Arial" w:cs="Arial" w:eastAsia="Arial" w:hAnsi="Arial"/>
          <w:sz w:val="18"/>
          <w:szCs w:val="18"/>
          <w:color w:val="auto"/>
        </w:rPr>
        <w:t>Wireless access points (WAP)</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6"/>
        </w:numPr>
        <w:rPr>
          <w:rFonts w:ascii="Arial" w:cs="Arial" w:eastAsia="Arial" w:hAnsi="Arial"/>
          <w:sz w:val="18"/>
          <w:szCs w:val="18"/>
          <w:color w:val="auto"/>
        </w:rPr>
      </w:pPr>
      <w:r>
        <w:rPr>
          <w:rFonts w:ascii="Arial" w:cs="Arial" w:eastAsia="Arial" w:hAnsi="Arial"/>
          <w:sz w:val="18"/>
          <w:szCs w:val="18"/>
          <w:color w:val="auto"/>
        </w:rPr>
        <w:t>VoIP phones</w:t>
      </w:r>
    </w:p>
    <w:p>
      <w:pPr>
        <w:spacing w:after="0" w:line="225" w:lineRule="exact"/>
        <w:rPr>
          <w:rFonts w:ascii="Arial" w:cs="Arial" w:eastAsia="Arial" w:hAnsi="Arial"/>
          <w:sz w:val="18"/>
          <w:szCs w:val="18"/>
          <w:color w:val="auto"/>
        </w:rPr>
      </w:pPr>
    </w:p>
    <w:p>
      <w:pPr>
        <w:ind w:left="366" w:right="140" w:hanging="366"/>
        <w:spacing w:after="0" w:line="268" w:lineRule="auto"/>
        <w:tabs>
          <w:tab w:leader="none" w:pos="375" w:val="left"/>
        </w:tabs>
        <w:numPr>
          <w:ilvl w:val="0"/>
          <w:numId w:val="6"/>
        </w:numPr>
        <w:rPr>
          <w:rFonts w:ascii="Arial" w:cs="Arial" w:eastAsia="Arial" w:hAnsi="Arial"/>
          <w:sz w:val="18"/>
          <w:szCs w:val="18"/>
          <w:color w:val="auto"/>
        </w:rPr>
      </w:pPr>
      <w:r>
        <w:rPr>
          <w:rFonts w:ascii="Arial" w:cs="Arial" w:eastAsia="Arial" w:hAnsi="Arial"/>
          <w:sz w:val="18"/>
          <w:szCs w:val="18"/>
          <w:color w:val="auto"/>
        </w:rPr>
        <w:t>Radio frequency identification (RFID) tag readers</w:t>
      </w:r>
    </w:p>
    <w:p>
      <w:pPr>
        <w:spacing w:after="0" w:line="185" w:lineRule="exact"/>
        <w:rPr>
          <w:rFonts w:ascii="Arial" w:cs="Arial" w:eastAsia="Arial" w:hAnsi="Arial"/>
          <w:sz w:val="18"/>
          <w:szCs w:val="18"/>
          <w:color w:val="auto"/>
        </w:rPr>
      </w:pPr>
    </w:p>
    <w:p>
      <w:pPr>
        <w:ind w:left="366" w:hanging="366"/>
        <w:spacing w:after="0"/>
        <w:tabs>
          <w:tab w:leader="none" w:pos="366"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 terminals</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Networking routers and switches</w:t>
      </w:r>
    </w:p>
    <w:p>
      <w:pPr>
        <w:spacing w:after="0" w:line="225" w:lineRule="exact"/>
        <w:rPr>
          <w:rFonts w:ascii="Arial" w:cs="Arial" w:eastAsia="Arial" w:hAnsi="Arial"/>
          <w:sz w:val="18"/>
          <w:szCs w:val="18"/>
          <w:color w:val="auto"/>
        </w:rPr>
      </w:pPr>
    </w:p>
    <w:p>
      <w:pPr>
        <w:ind w:left="366" w:hanging="366"/>
        <w:spacing w:after="0"/>
        <w:tabs>
          <w:tab w:leader="none" w:pos="366"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Security cameras</w:t>
      </w:r>
    </w:p>
    <w:p>
      <w:pPr>
        <w:spacing w:after="0" w:line="200" w:lineRule="exact"/>
        <w:rPr>
          <w:sz w:val="20"/>
          <w:szCs w:val="20"/>
          <w:color w:val="auto"/>
        </w:rPr>
      </w:pPr>
    </w:p>
    <w:p>
      <w:pPr>
        <w:sectPr>
          <w:pgSz w:w="11900" w:h="16838" w:orient="portrait"/>
          <w:cols w:equalWidth="0" w:num="2">
            <w:col w:w="7480" w:space="294"/>
            <w:col w:w="3466"/>
          </w:cols>
          <w:pgMar w:left="240" w:top="131" w:right="419" w:bottom="1440" w:gutter="0" w:footer="0" w:header="0"/>
        </w:sectPr>
      </w:pPr>
    </w:p>
    <w:p>
      <w:pPr>
        <w:spacing w:after="0" w:line="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fiscal 2010, 2009 and 2008, sales of our mixed-signal products accounted for substantially all of our revenue.</w:t>
      </w:r>
    </w:p>
    <w:p>
      <w:pPr>
        <w:sectPr>
          <w:pgSz w:w="11900" w:h="16838" w:orient="portrait"/>
          <w:cols w:equalWidth="0" w:num="1">
            <w:col w:w="11240"/>
          </w:cols>
          <w:pgMar w:left="240" w:top="131" w:right="419" w:bottom="1440" w:gutter="0" w:footer="0" w:header="0"/>
          <w:type w:val="continuous"/>
        </w:sectPr>
      </w:pPr>
    </w:p>
    <w:p>
      <w:pPr>
        <w:spacing w:after="0" w:line="248"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Sales and Marketing</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We market our products through our direct sales force and through a network of independent sales representatives and distributors. Direct and distributor customers buy on an individual purchase order basis, rather than pursuant to long-term agreements.</w:t>
      </w:r>
    </w:p>
    <w:p>
      <w:pPr>
        <w:spacing w:after="0" w:line="186"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consider our customer to be the end customer purchasing either directly from a distributor, a contract manufacturer or us. An end customer purchasing through a contract manufacturer typically instructs such contract manufacturer to obtain our products and incorporate such products with other components for sale by such contract manufacturer to the end customer. Although we actually sell the products to, and are paid by, the distributors and contract manufacturers, we refer to such end customer as our customer.</w:t>
      </w:r>
    </w:p>
    <w:p>
      <w:pPr>
        <w:spacing w:after="0" w:line="197"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Two of our distributors, Edom Technology and Avnet, represented 28% and 14% of our revenues during fiscal 2010. No other distributor accounted for 10% or more of revenues for fiscal 2010.</w:t>
      </w:r>
    </w:p>
    <w:p>
      <w:pPr>
        <w:spacing w:after="0" w:line="186"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During fiscal 2010, our ten largest end customers accounted for 36% of our revenues. We had no single end customer that accounted for more than 10% of our revenues during this period. Our major customers include Apple, Cisco, Huawei, LG Electronics, Nokia, Pace (formerly Philips), Panasonic, Samsung, Technicolor (formerly Thomson) and Varian Medical Systems.</w:t>
      </w:r>
    </w:p>
    <w:p>
      <w:pPr>
        <w:spacing w:after="0" w:line="194"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 xml:space="preserve">We maintain numerous sales offices in North America, Europe and Asia. Revenue is attributed to a geographic area based on the end customer's shipped-to location. The percentage of our revenues to customers located outside of the United States was 86% in fiscal 2010. For further information regarding our revenues and long-lived assets by geographic area, see Note 16, </w:t>
      </w:r>
      <w:r>
        <w:rPr>
          <w:rFonts w:ascii="Arial" w:cs="Arial" w:eastAsia="Arial" w:hAnsi="Arial"/>
          <w:sz w:val="16"/>
          <w:szCs w:val="16"/>
          <w:i w:val="1"/>
          <w:iCs w:val="1"/>
          <w:color w:val="auto"/>
        </w:rPr>
        <w:t>Segment Information</w:t>
      </w:r>
      <w:r>
        <w:rPr>
          <w:rFonts w:ascii="Arial" w:cs="Arial" w:eastAsia="Arial" w:hAnsi="Arial"/>
          <w:sz w:val="16"/>
          <w:szCs w:val="16"/>
          <w:color w:val="auto"/>
        </w:rPr>
        <w:t>, to the Consolidated Financial Statements.</w:t>
      </w:r>
    </w:p>
    <w:p>
      <w:pPr>
        <w:spacing w:after="0" w:line="16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direct sales force includes regional sales managers in the field and area business managers to further support customer communications. We also utilize independent sales representatives and distributors to generate sales of our products. We have relationships with many independent sales representatives and distributors worldwide whom we have selected based on their understanding of the mixed-signal IC marketplace and their ability to provide effective field sales applications support for our products.</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marketing efforts are targeted at both identified industry leaders and emerging market participants. Direct marketing activities are supplemented by a focused marketing communications effort that seeks to raise awareness of our company and products. Our public relations efforts are focused on leading trade and business publications. Our external website is used to deliver corporate information and product information. We also pursue targeted advertising in key trade publications and we have a cooperative marketing program that allows our distributors and representatives to promote our products to their local markets in conjunction with their own advertising activities. Finally we maintain a presence at strategic trade shows and industry events. These activities, in combination with direct sales activities, help drive demand for our products.</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Due to the complex and innovative nature of our ICs, we employ experienced applications engineers who work closely with customers to support the design-win process, and can significantly accelerate the customer's time required to bring a product to market. A design-win occurs when a customer has designed our ICs into its product architecture. A considerable amount of effort to assist the customer in incorporating our ICs into its products is typically required prior to any sale. In many cases, our innovative ICs require significantly different implementations than existing approaches and, therefore, successful implementations may require extensive communication with potential customers. The amount of time required to achieve a design-win can vary substantially depending on a customer's development cycle, which can be relatively short (such as three months) or very long (such as two years) based on a wide variety of customer factors. Not all design wins ultimately result in revenue. However, once a completed design architecture has been implemented and produced in high volumes,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customers are reluctant to significantly alter their designs due to this extensive design-win process. We believe this process, coupled with our intellectual property protection, promotes relatively longer product life cycles for our ICs and high barriers to entry for competitive products, even if such competing products are offered at lower prices. Our close collaboration with our customers provides us with knowledge of derivative product ideas or completely new product line offerings that may not otherwise arise in other new product discussions.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Through our research and development efforts, we apply our experienced analog and mixed-signal engineering talent and expertise to create new ICs that integrate functions typically performed inefficiently by multiple discrete components. This integration generally results in lower costs, smaller die sizes, lower power demands and enhanced price/performance characteristics. We attempt to reuse successful techniques for integration in new applications where similar benefits can be realized. We believe that reliable and precise analog and mixed-signal ICs can only be developed by teams of engineers that coordinate their efforts under the direction of senior engineers who have significant analog experience and are familiar with the intricacies of designing these ICs for commercial volume production. The development of test methodologies is a critical activity in releasing a new product for commercial success. We believe that we have attracted some of the best engineers in our industry.</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Research and development expenses were $123.8 million, $104.4 million and $101.2 million in fiscal 2010, 2009 and 2008,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23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product development process facilitates the design of highly-innovative, analog-intensive, mixed-signal ICs. Our engineers' deep knowledge of existing and emerging standards and performance requirements help us to assess the technical feasibility of a particular IC. We target areas where we can provide compelling product improvements. Once we have solved the primary challenges, our field application engineers continue to work closely with our customers' design teams to maintain and develop an understanding of our customers' needs, allowing us to formulate derivative products and refined features.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providing mixed-signal ICs for our customers, we believe our key competitive advantages are:</w:t>
      </w:r>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Analog design expertise in CMOS;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Digital signal processing design expertise;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Microcontroller and system on a chip design expertise;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broad understanding of systems technology and trends.</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To fully capitalize on these advantages, we have assembled a world-class development team with exceptional analog and mixed-signal design expertise led by accomplished senior engineers.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Analog Design Expertise in CMOS</w:t>
      </w:r>
    </w:p>
    <w:p>
      <w:pPr>
        <w:spacing w:after="0" w:line="231" w:lineRule="exact"/>
        <w:rPr>
          <w:sz w:val="20"/>
          <w:szCs w:val="20"/>
          <w:color w:val="auto"/>
        </w:rPr>
      </w:pPr>
    </w:p>
    <w:p>
      <w:pPr>
        <w:jc w:val="both"/>
        <w:ind w:right="80" w:firstLine="348"/>
        <w:spacing w:after="0" w:line="294" w:lineRule="auto"/>
        <w:rPr>
          <w:sz w:val="20"/>
          <w:szCs w:val="20"/>
          <w:color w:val="auto"/>
        </w:rPr>
      </w:pPr>
      <w:r>
        <w:rPr>
          <w:rFonts w:ascii="Arial" w:cs="Arial" w:eastAsia="Arial" w:hAnsi="Arial"/>
          <w:sz w:val="16"/>
          <w:szCs w:val="16"/>
          <w:color w:val="auto"/>
        </w:rPr>
        <w:t>We believe that our most significant core competency is world-class analog design capability. Additionally, we strive to design substantially all of our ICs in standard CMOS processes. While it is significantly more difficult to design analog ICs in CMOS, CMOS provides multiple benefits versus existing alternatives, including significantly reduced cost, reduced technology risk and greater worldwide foundry capacity. CMOS is the most commonly used process technology for manufacturing digital ICs and as a result is most likely to be used for the manufacturing of ICs with finer line geometries. These finer line geometries can enable smaller and faster ICs. By designing our ICs in CMOS, we enable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products to benefit from this trend towards finer line geometries, which allows us to integrate more digital functionality into our mixed-signal ICs.</w:t>
      </w:r>
    </w:p>
    <w:p>
      <w:pPr>
        <w:spacing w:after="0" w:line="24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Designing analog and mixed-signal ICs is significantly more complicated than designing stand alone digital ICs. While advanced software tools exist to help automate digital IC design, there are far fewer tools for advanced analog and mixed-signal IC design. In many cases, our analog circuit design efforts begin at the fundamental transistor level. We believe that we have a demonstrated ability to design the most difficult analog and RF circuits using standard CMOS technologies.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Signal Processing Design Expertise</w:t>
      </w:r>
    </w:p>
    <w:p>
      <w:pPr>
        <w:spacing w:after="0" w:line="231"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We consider the partitioning of a circuit to be a proprietary and creative design technique. Our digital signal processing design expertise maximizes the price/performance characteristics of both the analog and digital functions and allows our ICs to work in an optimized manner to accomplish particular tasks. Generally, we surround core analog circuitry with digital CMOS transistors, which allow our ICs to perform the required analog functions with increased digital capabilities. For example, our broadcast audio products use a proven digital low-IF receiver and transmitter architecture to deliver superior RF performance and interference rejection compared to traditional, analog-only approaches. Digital signal processing is utilized to optimize sound quality under varying signal conditions, enabling a better consumer experience.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Microcontroller and System on a Chip Design Expertise</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the talent and circuit integration methodologies required to combine precision analog, high-speed digital, flash memory and in-system programmability into a single, monolithic CMOS integrated circuit. Our microcontroller products are designed to capture an external analog signal, convert it to a digital signal, compute digital functions on the stream of data and then communicate the results through a standard digital interface. The ability to develop standard products with the broadest possible customer application base while being cost efficient with the silicon area of the monolithic CMOS integrated circuit requires a keen sense of customer value and engineering capabilities. Additionally, to manage the wide variety of signals on a monolithic piece of silicon including electrical noise, harmonics and other electronic distortions requires a fundamental knowledge of device physics and accumulated design expertise.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Understanding of Systems Technology and Trends</w:t>
      </w:r>
    </w:p>
    <w:p>
      <w:pPr>
        <w:spacing w:after="0" w:line="231"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Our focused expertise in mixed-signal ICs is the result of the breadth of engineering talent we have assembled with experience working in analog-intensive CMOS design for a wide variety of applications. This expertise, which we consider a competitive advantage, is the foundation of our in-depth understanding of the technology and trends that impact electronic systems and markets. Our expertise includes:</w:t>
      </w:r>
    </w:p>
    <w:p>
      <w:pPr>
        <w:spacing w:after="0" w:line="208"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Isolation, which is critical for existing and emerging telecom networks;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Frequency synthesis, which is core technology for wireless and clocking applications;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Integration, which enables the elimination of discrete components in a system;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Signal processing and precision analog, which forms the heart of consumer, industrial, medical and automotive electronics applications.</w:t>
      </w:r>
    </w:p>
    <w:p>
      <w:pPr>
        <w:spacing w:after="0" w:line="248"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Our understanding of the role of analog/digital interfaces within electronic systems, standards evolution, and end market drivers enables us to identify product development opportunities and capitalize on market trends.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As a fabless IC manufacturer, we conduct IC design and development in our facilities and electronically transfer our proprietary IC designs to third-party semiconductor fabricators who process silicon wafers to produce the ICs that we design. Our IC designs typically use industry-standard CMOS manufacturing process technology to achieve a level of performance normally associated with more expensive special-purpose IC fabrication technology. We believe the use of CMOS technology facilitates the rapid production of our ICs within a lower cost framework. Our IC production employs submicron process geometries which are readily available from leading foundry suppliers worldwide, thus increasing the likelihood that manufacturing capacity will be available throughout our products' life cycles. We currently partner principally with Taiwan Semiconductor Manufacturing Co. (TSMC) or its affiliates to manufacture our semiconductor wafers. We believe that our fabless manufacturing model significantly reduces our capital requirements and allows us to focus our resources on design, development and marketing of our ICs.</w:t>
      </w:r>
    </w:p>
    <w:p>
      <w:pPr>
        <w:spacing w:after="0" w:line="172"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Once the silicon wafers have been produced, they are shipped directly to our third-party assembly subcontractors. The assembled ICs are then moved to the final testing stage. This operation can be performed by the same contractor that assembled the IC, other third-party test subcontractors or within our internal facilities prior to shipping to our customers. During fiscal 2010, most of our units shipped were tested by offshore third-party test subcontractors. We expect that our utilization of offshore third-party test subcontractors will remain substantial during fiscal 2011.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31"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As of January 1, 2011, our backlog was approximately $87.5 million, compared to approximately $74.2 million as of January 2, 2010. We include in backlog accepted product purchase orders from customers and worldwide distributor stocking orders. We only include orders with an expected shipping date from us within six months. Product orders in our backlog are subject to changes in delivery schedules or cancellation at the option of the purchaser typically without penalty. Our backlog may fluctuate significantly depending upon customer order patterns which may, in turn, vary considerably based on rapidly changing business circumstances. Shipments to distributors are not recognized as revenue until the products are sold by the distributors. Additionally, our arrangements with distributors typically provide for price protection and stock rotation activities. Accordingly, we do not believe that our backlog at any time is necessarily representative of actual sales for any succeeding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 markets for semiconductors generally, and for analog and mixed-signal ICs in particular, are intensely competitive. We anticipate that the market for our products will continually evolve and will be subject to rapid technological change. We believe the principal competitive factors in our industry are: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040" w:type="dxa"/>
            <w:vAlign w:val="bottom"/>
          </w:tcPr>
          <w:p>
            <w:pPr>
              <w:ind w:left="160"/>
              <w:spacing w:after="0"/>
              <w:rPr>
                <w:sz w:val="20"/>
                <w:szCs w:val="20"/>
                <w:color w:val="auto"/>
              </w:rPr>
            </w:pPr>
            <w:r>
              <w:rPr>
                <w:rFonts w:ascii="Arial" w:cs="Arial" w:eastAsia="Arial" w:hAnsi="Arial"/>
                <w:sz w:val="18"/>
                <w:szCs w:val="18"/>
                <w:color w:val="auto"/>
              </w:rPr>
              <w:t>Product size;</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3260" w:type="dxa"/>
            <w:vAlign w:val="bottom"/>
          </w:tcPr>
          <w:p>
            <w:pPr>
              <w:ind w:left="160"/>
              <w:spacing w:after="0"/>
              <w:rPr>
                <w:sz w:val="20"/>
                <w:szCs w:val="20"/>
                <w:color w:val="auto"/>
              </w:rPr>
            </w:pPr>
            <w:r>
              <w:rPr>
                <w:rFonts w:ascii="Arial" w:cs="Arial" w:eastAsia="Arial" w:hAnsi="Arial"/>
                <w:sz w:val="18"/>
                <w:szCs w:val="18"/>
                <w:color w:val="auto"/>
              </w:rPr>
              <w:t>Power requirement;</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040" w:type="dxa"/>
            <w:vAlign w:val="bottom"/>
          </w:tcPr>
          <w:p>
            <w:pPr>
              <w:ind w:left="160"/>
              <w:spacing w:after="0"/>
              <w:rPr>
                <w:sz w:val="20"/>
                <w:szCs w:val="20"/>
                <w:color w:val="auto"/>
              </w:rPr>
            </w:pPr>
            <w:r>
              <w:rPr>
                <w:rFonts w:ascii="Arial" w:cs="Arial" w:eastAsia="Arial" w:hAnsi="Arial"/>
                <w:sz w:val="18"/>
                <w:szCs w:val="18"/>
                <w:color w:val="auto"/>
              </w:rPr>
              <w:t>Level of integration;</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3260" w:type="dxa"/>
            <w:vAlign w:val="bottom"/>
          </w:tcPr>
          <w:p>
            <w:pPr>
              <w:ind w:left="160"/>
              <w:spacing w:after="0"/>
              <w:rPr>
                <w:sz w:val="20"/>
                <w:szCs w:val="20"/>
                <w:color w:val="auto"/>
              </w:rPr>
            </w:pPr>
            <w:r>
              <w:rPr>
                <w:rFonts w:ascii="Arial" w:cs="Arial" w:eastAsia="Arial" w:hAnsi="Arial"/>
                <w:sz w:val="18"/>
                <w:szCs w:val="18"/>
                <w:color w:val="auto"/>
              </w:rPr>
              <w:t>Customer support;</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040" w:type="dxa"/>
            <w:vAlign w:val="bottom"/>
          </w:tcPr>
          <w:p>
            <w:pPr>
              <w:ind w:left="160"/>
              <w:spacing w:after="0"/>
              <w:rPr>
                <w:sz w:val="20"/>
                <w:szCs w:val="20"/>
                <w:color w:val="auto"/>
              </w:rPr>
            </w:pPr>
            <w:r>
              <w:rPr>
                <w:rFonts w:ascii="Arial" w:cs="Arial" w:eastAsia="Arial" w:hAnsi="Arial"/>
                <w:sz w:val="18"/>
                <w:szCs w:val="18"/>
                <w:color w:val="auto"/>
              </w:rPr>
              <w:t>Product capabilities;</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3260" w:type="dxa"/>
            <w:vAlign w:val="bottom"/>
          </w:tcPr>
          <w:p>
            <w:pPr>
              <w:ind w:left="160"/>
              <w:spacing w:after="0"/>
              <w:rPr>
                <w:sz w:val="20"/>
                <w:szCs w:val="20"/>
                <w:color w:val="auto"/>
              </w:rPr>
            </w:pPr>
            <w:r>
              <w:rPr>
                <w:rFonts w:ascii="Arial" w:cs="Arial" w:eastAsia="Arial" w:hAnsi="Arial"/>
                <w:sz w:val="18"/>
                <w:szCs w:val="18"/>
                <w:color w:val="auto"/>
              </w:rPr>
              <w:t>Reputation;</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040" w:type="dxa"/>
            <w:vAlign w:val="bottom"/>
          </w:tcPr>
          <w:p>
            <w:pPr>
              <w:ind w:left="160"/>
              <w:spacing w:after="0"/>
              <w:rPr>
                <w:sz w:val="20"/>
                <w:szCs w:val="20"/>
                <w:color w:val="auto"/>
              </w:rPr>
            </w:pPr>
            <w:r>
              <w:rPr>
                <w:rFonts w:ascii="Arial" w:cs="Arial" w:eastAsia="Arial" w:hAnsi="Arial"/>
                <w:sz w:val="18"/>
                <w:szCs w:val="18"/>
                <w:color w:val="auto"/>
              </w:rPr>
              <w:t>Reliability;</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3260" w:type="dxa"/>
            <w:vAlign w:val="bottom"/>
          </w:tcPr>
          <w:p>
            <w:pPr>
              <w:ind w:left="160"/>
              <w:spacing w:after="0"/>
              <w:rPr>
                <w:sz w:val="20"/>
                <w:szCs w:val="20"/>
                <w:color w:val="auto"/>
              </w:rPr>
            </w:pPr>
            <w:r>
              <w:rPr>
                <w:rFonts w:ascii="Arial" w:cs="Arial" w:eastAsia="Arial" w:hAnsi="Arial"/>
                <w:sz w:val="18"/>
                <w:szCs w:val="18"/>
                <w:color w:val="auto"/>
                <w:w w:val="91"/>
              </w:rPr>
              <w:t>Ability to rapidly introduce new products to</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040" w:type="dxa"/>
            <w:vAlign w:val="bottom"/>
          </w:tcPr>
          <w:p>
            <w:pPr>
              <w:ind w:left="160"/>
              <w:spacing w:after="0"/>
              <w:rPr>
                <w:sz w:val="20"/>
                <w:szCs w:val="20"/>
                <w:color w:val="auto"/>
              </w:rPr>
            </w:pPr>
            <w:r>
              <w:rPr>
                <w:rFonts w:ascii="Arial" w:cs="Arial" w:eastAsia="Arial" w:hAnsi="Arial"/>
                <w:sz w:val="18"/>
                <w:szCs w:val="18"/>
                <w:color w:val="auto"/>
              </w:rPr>
              <w:t>Price;</w:t>
            </w:r>
          </w:p>
        </w:tc>
        <w:tc>
          <w:tcPr>
            <w:tcW w:w="64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Arial" w:cs="Arial" w:eastAsia="Arial" w:hAnsi="Arial"/>
                <w:sz w:val="18"/>
                <w:szCs w:val="18"/>
                <w:color w:val="auto"/>
              </w:rPr>
              <w:t>market; and</w:t>
            </w:r>
          </w:p>
        </w:tc>
      </w:tr>
      <w:tr>
        <w:trPr>
          <w:trHeight w:val="222"/>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040" w:type="dxa"/>
            <w:vAlign w:val="bottom"/>
          </w:tcPr>
          <w:p>
            <w:pPr>
              <w:ind w:left="160"/>
              <w:spacing w:after="0"/>
              <w:rPr>
                <w:sz w:val="20"/>
                <w:szCs w:val="20"/>
                <w:color w:val="auto"/>
              </w:rPr>
            </w:pPr>
            <w:r>
              <w:rPr>
                <w:rFonts w:ascii="Arial" w:cs="Arial" w:eastAsia="Arial" w:hAnsi="Arial"/>
                <w:sz w:val="18"/>
                <w:szCs w:val="18"/>
                <w:color w:val="auto"/>
              </w:rPr>
              <w:t>Performance;</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3260" w:type="dxa"/>
            <w:vAlign w:val="bottom"/>
          </w:tcPr>
          <w:p>
            <w:pPr>
              <w:ind w:left="160"/>
              <w:spacing w:after="0"/>
              <w:rPr>
                <w:sz w:val="20"/>
                <w:szCs w:val="20"/>
                <w:color w:val="auto"/>
              </w:rPr>
            </w:pPr>
            <w:r>
              <w:rPr>
                <w:rFonts w:ascii="Arial" w:cs="Arial" w:eastAsia="Arial" w:hAnsi="Arial"/>
                <w:sz w:val="18"/>
                <w:szCs w:val="18"/>
                <w:color w:val="auto"/>
              </w:rPr>
              <w:t>Intellectual property.</w:t>
            </w:r>
          </w:p>
        </w:tc>
      </w:tr>
    </w:tbl>
    <w:p>
      <w:pPr>
        <w:spacing w:after="0" w:line="210"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believe that we are competitive with respect to these factors, particularly because our ICs typically are smaller in size, are highly integrated, achieve high performance specifications at lower price points than competitive products and are manufactured in standard CMOS which generally enables us to supply them on a relatively rapid basis to customers to meet their product introduction schedules. However, disadvantages we face include our relatively short operating history in certain of our markets and the need for customers to redesign their products and modify their software to implement our ICs in their products.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1"/>
        <w:spacing w:after="0" w:line="288" w:lineRule="auto"/>
        <w:rPr>
          <w:sz w:val="20"/>
          <w:szCs w:val="20"/>
          <w:color w:val="auto"/>
        </w:rPr>
      </w:pPr>
      <w:r>
        <w:rPr>
          <w:rFonts w:ascii="Arial" w:cs="Arial" w:eastAsia="Arial" w:hAnsi="Arial"/>
          <w:sz w:val="16"/>
          <w:szCs w:val="16"/>
          <w:color w:val="auto"/>
        </w:rPr>
        <w:t>As we target and supply products to numerous markets and applications, we face competition from a relatively large number of competitors. We compete with Analog Devices, Atmel, Broadcom, Conexant, Cypress, Epson, Freescale, IDT, Lantiq, LSI, Maxim Integrated Products, Microchip, NXP Semiconductors, Renesas, Sony Semiconductor, ST-Ericsson, STMicroelectronics, Texas Instruments, Vectron International, Zarlink Semiconductor and others. We expect to face competition in the future from our current competitors, other manufacturers and designers of semiconductors and start-up semiconductor design companies. Our competitors may also offer bundled solutions offering a more complete product, which may negatively impact our competitive position despite the technical merits or advantages of our products. In addition, our customers could develop products or technologies internally that would replace their need for our products and would become a source of competition. As the markets for electronic products grow, we also may face competition from traditional electronic device companies. These companies may enter the mixed-signal semiconductor market by introducing their own products, including components within their products that would eliminate the need for our ICs, or by entering into strategic relationships with or acquiring other existing IC providers.</w:t>
      </w:r>
    </w:p>
    <w:p>
      <w:pPr>
        <w:spacing w:after="0" w:line="174" w:lineRule="exact"/>
        <w:rPr>
          <w:sz w:val="20"/>
          <w:szCs w:val="20"/>
          <w:color w:val="auto"/>
        </w:rPr>
      </w:pPr>
    </w:p>
    <w:p>
      <w:pPr>
        <w:ind w:right="380" w:firstLine="351"/>
        <w:spacing w:after="0" w:line="255" w:lineRule="auto"/>
        <w:rPr>
          <w:sz w:val="20"/>
          <w:szCs w:val="20"/>
          <w:color w:val="auto"/>
        </w:rPr>
      </w:pPr>
      <w:r>
        <w:rPr>
          <w:rFonts w:ascii="Arial" w:cs="Arial" w:eastAsia="Arial" w:hAnsi="Arial"/>
          <w:sz w:val="18"/>
          <w:szCs w:val="18"/>
          <w:color w:val="auto"/>
        </w:rPr>
        <w:t>Many of our competitors and potential competitors have longer operating histories, greater name recognition, access to larger customer bases, complementary product offerings, and significantly greater financial, sales and marketing, manufacturing, distribution, technical and other resources than us. Current and potential competitors have established or may establish financial and strategic relationships between themselves or with our existing or potential customers, resellers or other third parties. Accordingly, it is possible that new competitors or alliances among competitors could emerge and rapidly acquire significant market share.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future success depends in part upon our proprietary technology. We seek to protect our technology through a combination of patents, copyrights, trade secrets, trademarks and confidentiality procedures. As of January 1, 2011, we had approximately 1,040 issued or pending United States patents in the IC field. We also frequently file for patent protection in a variety of international jurisdictions with respect to the proprietary technology covered by our U.S. patents and patent applications. There can be no assurance that patents will ever be issued with respect to these applications. Furthermore, it is possible that any patents held by us may be invalidated, circumvented, challenged or licensed to others. In addition, there can be no assurance that such patents will provide us with competitive advantages or adequately safeguard our proprietary rights. While we continue to file new patent applications with respect to our recent developments, existing patents are granted for prescribed time periods and will expire at various times in the future.</w:t>
      </w:r>
    </w:p>
    <w:p>
      <w:pPr>
        <w:spacing w:after="0" w:line="172" w:lineRule="exact"/>
        <w:rPr>
          <w:sz w:val="20"/>
          <w:szCs w:val="20"/>
          <w:color w:val="auto"/>
        </w:rPr>
      </w:pPr>
    </w:p>
    <w:p>
      <w:pPr>
        <w:ind w:right="180" w:firstLine="348"/>
        <w:spacing w:after="0" w:line="290" w:lineRule="auto"/>
        <w:rPr>
          <w:sz w:val="20"/>
          <w:szCs w:val="20"/>
          <w:color w:val="auto"/>
        </w:rPr>
      </w:pPr>
      <w:r>
        <w:rPr>
          <w:rFonts w:ascii="Arial" w:cs="Arial" w:eastAsia="Arial" w:hAnsi="Arial"/>
          <w:sz w:val="16"/>
          <w:szCs w:val="16"/>
          <w:color w:val="auto"/>
        </w:rPr>
        <w:t>We claim copyright protection for proprietary documentation for our products. We have filed for registration, or are in the process of filing for registration, the visual images of certain ICs with the U.S. Copyright Office. We have registered the "Silicon Labs" logo and a variety of other product and product family names as trademarks in the United States and selected foreign jurisdictions. All other trademarks, service marks or trade names appearing in this report are the property of their respective owners. We also attempt to protect our trade secrets and other proprietary information through agreements with our customers, suppliers, employees and consultants, and through other customary security measures. We intend to protect our rights vigorously, but there can be no assurance that our efforts will be successful. In addition, the laws of other countries in which our products are sold may not protect our products and intellectual property rights to the same extent as the laws of the United States.</w:t>
      </w:r>
    </w:p>
    <w:p>
      <w:pPr>
        <w:spacing w:after="0" w:line="172"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While our ability to effectively compete depends in large part on our ability to protect our intellectual property, we believe that our technical expertise and ability to introduce new products in a timely manner will be an important factor in maintaining our competitive position.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Many participants in the semiconductor and electronics industries have a significant number of patents and have frequently demonstrated a readiness to commence litigation based on allegations of patent and other intellectual property infringement. From time to time, third parties may assert infringement claims against us. We may not prevail in any such litigation or may not be able to license any valid and infringed patents from third parties on commercially reasonable terms, if at all. Litigation, regardless of the outcome, is likely to result in substantial cost and diversion of our resources, including our management's time. Any such litigation could materially adversely affect us.</w:t>
      </w:r>
    </w:p>
    <w:p>
      <w:pPr>
        <w:spacing w:after="0" w:line="197"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Our licenses include industry standard licenses with our vendors, such as wafer fabrication tool libraries, third party core libraries, computer-aided design applications and business software applications.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As of January 1, 2011, we employed 845 people. Our success depends on the continued service of our key technical and senior management personnel and on our ability to continue to attract, retain and motivate highly skilled analog and mixed-signal engineers. The competition for such personnel is intense. We have never had a work stoppage and none of our U.S. employees are represented by a labor organization. We consider our employee relations to be good.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231" w:lineRule="exact"/>
        <w:rPr>
          <w:sz w:val="20"/>
          <w:szCs w:val="20"/>
          <w:color w:val="auto"/>
        </w:rPr>
      </w:pPr>
    </w:p>
    <w:p>
      <w:pPr>
        <w:ind w:right="20" w:firstLine="351"/>
        <w:spacing w:after="0" w:line="370" w:lineRule="auto"/>
        <w:rPr>
          <w:sz w:val="20"/>
          <w:szCs w:val="20"/>
          <w:color w:val="auto"/>
        </w:rPr>
      </w:pPr>
      <w:r>
        <w:rPr>
          <w:rFonts w:ascii="Arial" w:cs="Arial" w:eastAsia="Arial" w:hAnsi="Arial"/>
          <w:sz w:val="15"/>
          <w:szCs w:val="15"/>
          <w:color w:val="auto"/>
        </w:rPr>
        <w:t>Federal, state and local regulations impose various environmental controls on the storage, use, discharge and disposal of certain chemicals and gases used in the semiconductor industry. Our compliance with these laws and regulations has not had a material impact on our financial position or results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Our website address is www.silabs.com. Our annual report on Form 10-K, quarterly reports on Form 10-Q, current reports on Form 8-K and amendments to those reports filed or furnished pursuant to Section 13(a) or 15(d) of the Securities Exchange Act of 1934 are available through the investor relations page of our internet website free of charge as soon as reasonably practicable after we electronically file such material with, or furnish it to, the Securities and Exchange Commission (SEC). Our website and the information contained therein or connected thereto are not intended to be incorporated into this Annual Report on Form 10-K.</w:t>
      </w:r>
    </w:p>
    <w:p>
      <w:pPr>
        <w:spacing w:after="0" w:line="19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We may not be able to maintain our historical growth and may experience significant period-to-period fluctuations in our revenues and operating results, which may result in volatility in our stock price</w:t>
      </w:r>
    </w:p>
    <w:p>
      <w:pPr>
        <w:spacing w:after="0" w:line="186"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Although we have generally experienced revenue growth in our history, we may not be able to sustain this growth. We may also experience significant period-to-period fluctuations in our revenues and operating results in the future due to a number of factors, and any such variations may cause our stock price to fluctuate. In some future period our revenues or operating results may be below the expectations of public market analysts or investors. If this occurs, our stock price may drop, perhaps significantly.</w:t>
      </w:r>
    </w:p>
    <w:p>
      <w:pPr>
        <w:spacing w:after="0" w:line="197"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 number of factors, in addition to those cited in other risk factors applicable to our business, may contribute to fluctuations in our revenues and operating results, including:</w:t>
      </w:r>
    </w:p>
    <w:p>
      <w:pPr>
        <w:spacing w:after="0" w:line="19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volume of orders received from our customers;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timeliness of our new product introductions and the rate at which our new products may cannibalize our older products;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of acceptance of our products by our customers, including the acceptance of new products we may develop for integration in the products manufactured by such customers, which we refer to as "design wins";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time lag and realization rate between "design wins" and production orders;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demand for, and life cycles of, the products incorporating our ICs;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of adoption of mixed-signal ICs in the markets we target;</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Deferrals or reductions of customer orders in anticipation of new products or product enhancements from us or our competitors or other providers of ICs;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product mix;</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average selling prices for our products could drop suddenly due to competitive offerings or competitive predatory pricing, especially with respect to our mobile handset products;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average selling prices for our products generally decline over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market standards;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Impairment charges related to inventory, equipment or other long-lived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software used in our products, including software provided by third-parties, may not meet the needs of our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legal costs to defend our intellectual property rights or respond to claims against us; and</w:t>
      </w:r>
    </w:p>
    <w:p>
      <w:pPr>
        <w:spacing w:after="0" w:line="252"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at which new markets emerge for products we are currently developing or for which our design expertise can be utilized to develop products for these new markets.</w:t>
      </w:r>
    </w:p>
    <w:p>
      <w:pPr>
        <w:spacing w:after="0" w:line="186"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markets for mobile handsets, consumer electronics, satellite set-top boxes and VoIP applications are characterized by rapid fluctuations in demand and seasonality that result in corresponding fluctuations in the demand for our products that are incorporated in such devices. Additionally, the rate of technology acceptance by our customers results in fluctuating demand for our products as customers are reluctant to incorporate a new IC into their products until the new IC has achieved market acceptance. Once a new IC achieves market acceptance, demand for the new IC can quickly accelerate to a point and then level off such that rapid historical growth in sales of a product should not be viewed as indicative of continued future growth. In addition, demand can quickly decline for a product when a new IC product is introduced and receives market acceptance. Due to the various factors mentioned above, the results of any prior quarterly or annual periods should not be relied upon as an indication of our future operating performance.</w:t>
      </w:r>
    </w:p>
    <w:p>
      <w:pPr>
        <w:spacing w:after="0" w:line="17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If we are unable to develop or acquire new and enhanced products that achieve market acceptance in a timely manner, our operating results and competitive position could be harmed</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Our future success will depend on our ability to reduce our dependence on a few products by developing or acquiring new ICs and product enhancements that achieve market acceptance in a timely and cost-effective manner. The development of mixed-signal ICs is highly complex, and we have at times experienced delays in completing the development and introduction of new products and product enhancements. Successful product development and market acceptance of our products depend on a number of factors, including:</w:t>
      </w:r>
    </w:p>
    <w:p>
      <w:pPr>
        <w:spacing w:after="0" w:line="211"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Requirements of customers;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Accurate prediction of market and technical requirements;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Timely completion and introduction of new designs;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Timely qualification and certification of our ICs for use in our customers'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Commercial acceptance and volume production of the products into which our ICs will be incorporated;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of foundry, assembly and test capacity;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Achievement of high manufacturing yields;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Quality, price, performance, power use and size of our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quality, price and performance of competing products and technologies;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customer service, application support capabilities and responsiveness;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 development of our relationships with existing and potential customers;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Technology, industry standards or end-user preferences;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Cooperation of third-party software providers and our semiconductor vendors to support our chips within a system.</w:t>
      </w:r>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We cannot provide any assurance that products which we recently have developed or may develop in the future will achieve market acceptance. We have introduced to market or are in development of many ICs. If our ICs fail to achieve market acceptance, or if we fail to develop new products on a timely basis that achieve market acceptance, our growth prospects, operating results and competitive position could be adversely affected.</w:t>
      </w:r>
    </w:p>
    <w:p>
      <w:pPr>
        <w:spacing w:after="0" w:line="16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Our research and development efforts are focused on a limited number of new technologies and products, and any delay in the development, or abandonment, of these technologies or products by industry participants, or their failure to achieve market acceptance, could compromise our competitive position</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ICs are used as components in electronic devices in various markets. As a result, we have devoted and expect to continue to devote a large amount of resources to develop products based on new and emerging technologies and standards that will be commercially introduced in the future. Research and development expense in fiscal 2010 was $123.8 million, or 25.1% of revenues. A number of large companies are actively involved in the development of these new technologies and standards. Should any of these companies delay or abandon their efforts to develop commercially available products based on new technologies and standards, our research and development efforts with respect to these technologies and standards likely would have no appreciable value. In addition, if we do not correctly anticipate new technologies and standards, or if the products that we develop based on these new technologies and standards fail to achieve market acceptance, our competitors may be better able to address market demand than we would. Furthermore, if markets for these new technologies and standards develop later than we anticipate, or do not develop at all, demand for our products that are currently in development would suffer, resulting in lower sales of these products than we currently anticipate.</w:t>
      </w:r>
    </w:p>
    <w:p>
      <w:pPr>
        <w:spacing w:after="0" w:line="17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We depend on a limited number of customers for a substantial portion of our revenues, and the loss of, or a significant reduction in orders from, any key customer could significantly reduce our revenues</w:t>
      </w:r>
    </w:p>
    <w:p>
      <w:pPr>
        <w:spacing w:after="0" w:line="186"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loss of any of our key customers, or a significant reduction in sales to any one of them, would significantly reduce our revenues and adversely affect our business. During fiscal 2010, our ten largest customers accounted for 36% of our revenues. Some of the markets for our products are dominated by a small number of potential customers. Therefore, our operating results in the foreseeable future will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continue to depend on our ability to sell to these dominant customers, as well as the ability of these customers to sell products that incorporate our IC products. In the future, these customers may decide not to purchase our ICs at all, purchase fewer ICs than they did in the past or alter their purchasing patterns, particularly because:</w:t>
      </w:r>
    </w:p>
    <w:p>
      <w:pPr>
        <w:spacing w:after="0" w:line="208"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do not have material long-term purchase contracts with our customers;</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Substantially all of our sales to date have been made on a purchase order basis, which permits our customers to cancel, change or delay product purchase commitments with little or no notice to us and without penalty;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Some of our customers may have efforts underway to actively diversify their vendor base which could reduce purchases of our ICs; and</w:t>
      </w:r>
    </w:p>
    <w:p>
      <w:pPr>
        <w:spacing w:after="0" w:line="261"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Some of our customers have developed or acquired products that compete directly with products these customers purchase from us, which could affect our customers' purchasing decisions in the future.</w:t>
      </w:r>
    </w:p>
    <w:p>
      <w:pPr>
        <w:spacing w:after="0" w:line="186"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While we have been a significant supplier of ICs used in many of our customers' products, our customers regularly evaluate alternative sources of supply in order to diversify their supplier base, which increases their negotiating leverage with us and protects their ability to secure these components. We believe that any expansion of our customers' supplier bases could have an adverse effect on the prices we are able to charge and volume of product that we are able to sell to our customers, which would negatively affect our revenues and operating results.</w:t>
      </w:r>
    </w:p>
    <w:p>
      <w:pPr>
        <w:spacing w:after="0" w:line="19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Significant litigation over intellectual property in our industry may cause us to become involved in costly and lengthy litigation which could seriously harm our business</w:t>
      </w:r>
    </w:p>
    <w:p>
      <w:pPr>
        <w:spacing w:after="0" w:line="18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recent years, there has been significant litigation in the United States involving patents and other intellectual property rights. From time to time, we receive letters from various industry participants alleging infringement of patents, trademarks or misappropriation of trade secrets or from customers or suppliers requesting indemnification for claims brought against them by third parties. The exploratory nature of these inquiries has become relatively common in the semiconductor industry. We respond when we deem appropriate and as advised by legal counsel. We have been involved in litigation to protect our intellectual property rights in the past and may become involved in such litigation again in the future. In the future, we may become involved in additional litigation to defend allegations of infringement asserted by others, both directly and indirectly as a result of certain industry-standard indemnities we may offer to our customers or suppliers. Legal proceedings could subject us to significant liability for damages or invalidate our proprietary rights. Legal proceedings initiated by us to protect our intellectual property rights could also result in counterclaims or countersuits against us. Any litigation, regardless of its outcome, would likely be time-consuming and expensive to resolve and would divert our management's time and attention. Most intellectual property litigation also could force us to take specific actions, including:</w:t>
      </w:r>
    </w:p>
    <w:p>
      <w:pPr>
        <w:spacing w:after="0" w:line="204"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Cease selling or manufacturing products that use the challenged intellectual property;</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a right to a license to sell or use the relevant technology, which license may not be available on reasonable terms, or at all;</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Redesign those products that use infringing intellectual property;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Pursue legal remedies with third parties to enforce our indemnification rights, which may not adequately protect our interests.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protect our intellectual property, which would negatively affect our ability to compete</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Our products rely on our proprietary technology, and we expect that future technological advances made by us will be critical to sustain market acceptance of our products. Therefore, we believe that the protection of our intellectual property rights is and will continue to be important to the success of our business. We rely on a combination of patent, copyright, trademark and trade secret laws and restrictions on disclosure to protect our intellectual property rights. We also enter into confidentiality or license agreements with our employees, consultants, intellectual property providers and business partners, and control access to and distribution of our documentation and other proprietary information. Despite these efforts, unauthorized parties may attempt to copy or otherwise obtain and use our proprietary technology. Monitoring unauthorized use of our technology is difficult, and we cannot be certain that the steps we have taken will prevent unauthorized use of our technology, particularly in foreign countries where the laws may not protect our proprietary rights as fully as in the United States. We cannot be certain that patents will be issued as a result of our pending applications nor can we be certain that any issued patents would protect or benefit us or give us adequate protection from competing products. For example, issued patents may be circumvented or challenged and declared invalid or unenforceable. We also cannot be certain that others will not develop effective competing technologies on their own.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manage our distribution channel relationships could impede our future growth</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future growth of our business will depend in large part on our ability to manage our relationships with current and future distributors and sales representatives, develop additional channels for the distribution and sale of our products and manage these relationships. As we execute our indirect sales strategy, we must manage the potential conflicts that may arise with our direct sales efforts. For example, conflicts with a distributor may arise when a customer begins purchasing directly from us rather than through the distributor. The inability to successfully execute or manage a multi-channel sales strategy could impede our future growth. In addition, relationships with our distributors often involve the use of price protection and inventory return rights. This often requires a significant amount of sales management's time and system resources to manage properly.</w:t>
      </w:r>
    </w:p>
    <w:p>
      <w:pPr>
        <w:spacing w:after="0" w:line="17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We are subject to increased inventory risks and costs because we build our products based on forecasts provided by customers before receiving purchase orders for the products</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order to ensure availability of our products for some of our largest customers, we start the manufacturing of our products in advance of receiving purchase orders based on forecasts provided by these customers. However, these forecasts do not represent binding purchase commitments and we do not recognize sales for these products until they are shipped to the customer. As a result, we incur inventory and manufacturing costs in advance of anticipated sales. Because demand for our products may not materialize, manufacturing based on forecasts subjects us to increased risks of high inventory carrying costs, increased obsolescence and increased operating costs. These inventory risks are exacerbated when our customers purchase indirectly through contract manufacturers or hold component inventory levels greater than their consumption rate because this causes us to have less visibility regarding the accumulated levels of inventory for such customers. A resulting write-off of unusable or excess inventories would adversely affect our operating results.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products are complex and may contain errors which could lead to product liability, an increase in our costs and/or a reduction in our revenues</w:t>
      </w:r>
    </w:p>
    <w:p>
      <w:pPr>
        <w:spacing w:after="0" w:line="248"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Our products are complex and may contain errors, particularly when first introduced or as new versions are released. Our new products are increasingly being designed in more complex processes which further increases the risk of errors. We rely primarily on our in-house testing personnel to design test operations and procedures to detect any errors prior to delivery of our products to our customers.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Because our products are manufactured by third parties, should problems occur in the operation or performance of our ICs, we may experience delays in meeting key introduction dates or scheduled delivery dates to our customers. These errors also could cause us to incur significant re-engineering costs, divert the attention of our engineering personnel from our product development efforts and cause significant customer relations and business reputation problems. Any defects could require product replacement or recall or we could be obligated to accept product returns. Any of the foregoing could impose substantial costs and harm our business.</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Product liability claims may be asserted with respect to our products. Our products are typically sold at prices that are significantly lower than the cost of the end-products into which they are incorporated. A defect or failure in our product could cause failure in our customer's end-product, so we could face claims for damages that are disproportionately higher than the revenues and profits we receive from the products involved. Furthermore, product liability risks are particularly significant with respect to medical and automotive applications because of the risk of serious harm to users of these products. There can be no assurance that any insurance we maintain will sufficiently protect us from any such claims.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acquisitions we make could disrupt our business and harm our financial condition</w:t>
      </w:r>
    </w:p>
    <w:p>
      <w:pPr>
        <w:spacing w:after="0" w:line="225" w:lineRule="exact"/>
        <w:rPr>
          <w:sz w:val="20"/>
          <w:szCs w:val="20"/>
          <w:color w:val="auto"/>
        </w:rPr>
      </w:pPr>
    </w:p>
    <w:p>
      <w:pPr>
        <w:ind w:right="20" w:firstLine="341"/>
        <w:spacing w:after="0" w:line="306" w:lineRule="auto"/>
        <w:rPr>
          <w:sz w:val="20"/>
          <w:szCs w:val="20"/>
          <w:color w:val="auto"/>
        </w:rPr>
      </w:pPr>
      <w:r>
        <w:rPr>
          <w:rFonts w:ascii="Arial" w:cs="Arial" w:eastAsia="Arial" w:hAnsi="Arial"/>
          <w:sz w:val="16"/>
          <w:szCs w:val="16"/>
          <w:color w:val="auto"/>
        </w:rPr>
        <w:t>As part of our growth and product diversification strategy, we continue to evaluate opportunities to acquire other businesses, intellectual property or technologies that would complement our current offerings, expand the breadth of our markets or enhance our technical capabilities. The acquisitions that we have made and may make in the future entail a number of risks that could materially and adversely affect our business and operating results, including:</w:t>
      </w:r>
    </w:p>
    <w:p>
      <w:pPr>
        <w:spacing w:after="0" w:line="174"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Problems integrating the acquired operations, technologies or products with our existing business and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management's time and attention from our core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Need for financial resources above our planned investment levels;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retaining business relationships with suppliers and customers of the acquired company;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lack prior experience;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associated with the transfer of licenses of intellectual property;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operating costs due to acquired overhead;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 issues associated with acquisitions;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Acquisition-related disputes, including disputes over earn-outs and escrows;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loss of key employees of the acquired company;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impairment of related goodwill and intangible assets.</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Future acquisitions also could cause us to incur debt or contingent liabilities or cause us to issue equity securities that could negatively impact the ownership percentages of existing shareholders.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customers require our products to undergo a lengthy and expensive qualification process without any assurance of product sales</w:t>
      </w:r>
    </w:p>
    <w:p>
      <w:pPr>
        <w:spacing w:after="0" w:line="248"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Prior to purchasing our products, our customers require that our products undergo an extensive qualification process, which involves testing of the products in the customer's system as well as rigorous reliability testing. This qualification process may continue for six months or longer. However,</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qualification of a product by a customer does not ensure any sales of the product to that customer. Even after successful qualification and sales of a product to a customer, a subsequent revision to the IC or software, changes in the IC's manufacturing process or the selection of a new supplier by us may require a new qualification process, which may result in delays and in us holding excess or obsolete inventory. After our products are qualified, it can take an additional six months or more before the customer commences volume production of components or devices that incorporate our products. Despite these uncertainties, we devote substantial resources, including design, engineering, sales, marketing and management efforts, toward qualifying our products with customers in anticipation of sales. If we are unsuccessful or delayed in qualifying any of our products with a customer, such failure or delay would preclude or delay sales of such product to the customer, which may impede our growth and cause our business to suffer.</w:t>
      </w:r>
    </w:p>
    <w:p>
      <w:pPr>
        <w:spacing w:after="0" w:line="17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We have increased our international activities significantly and plan to continue such efforts, which subjects us to additional business risks including increased logistical and financial complexity, political instability and currency fluctuations</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have established additional international subsidiaries and have opened additional offices in international markets to expand our international activities in Europe and Asia. This has included the establishment of a headquarters in Singapore for non-U.S. operations. The percentage of our revenues derived from customers located outside of the United States was 86% during fiscal 2010. We may not be able to maintain or increase international market demand for our products. Our international operations are subject to a number of risks, including:</w:t>
      </w:r>
    </w:p>
    <w:p>
      <w:pPr>
        <w:spacing w:after="0" w:line="211" w:lineRule="exact"/>
        <w:rPr>
          <w:sz w:val="20"/>
          <w:szCs w:val="20"/>
          <w:color w:val="auto"/>
        </w:rPr>
      </w:pPr>
    </w:p>
    <w:p>
      <w:pPr>
        <w:ind w:left="1080" w:right="62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complexity and costs of managing international operations and related tax obligations, including our headquarters for non-U.S. operations in Singapore;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Protectionist laws and business practices that favor local competition in some countries;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related to the protection of our intellectual property rights in some countries;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Multiple, conflicting and changing tax and other laws and regulations that may impact both our international and domestic tax and other liabilities and result in increased complexity and costs;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difficulty in accounts receivable collection and longer collection periods;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 levels of distributor inventory subject to price protection and rights of return to 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difficulty in hiring and retaining qualified technical sales and applications engineers and administrative personnel;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need to have business and operations systems that can meet the needs of our international business and operating structure.</w:t>
      </w:r>
    </w:p>
    <w:p>
      <w:pPr>
        <w:spacing w:after="0" w:line="248"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To date, all of our sales to international customers and purchases of components from international suppliers have been denominated in U.S. dollars. As a result, an increase in the value of the U.S. dollar relative to foreign currencies could make our products more expensive for our international customers to purchase, thus rendering our products less competitive.</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rely on third parties to manufacture, assemble and test our products and the failure to successfully manage our relationships with our manufacturers and subcontractors would negatively impact our ability to sell our products</w:t>
      </w:r>
    </w:p>
    <w:p>
      <w:pPr>
        <w:spacing w:after="0" w:line="186"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We do not have our own wafer fab manufacturing facilities. Therefore, we rely on third-party vendors to manufacture the ICs we design. We also currently rely on Asian third-party assembly subcontractors to assemble and package the silicon chips provided by the wafers for use in final products. Additionally, we rely on these offshore subcontractors for a substantial portion of the testing requirements of our products prior to shipping. We expect utilization of third-party subcontractors to continue in the future.</w:t>
      </w:r>
    </w:p>
    <w:p>
      <w:pPr>
        <w:spacing w:after="0" w:line="197" w:lineRule="exact"/>
        <w:rPr>
          <w:sz w:val="20"/>
          <w:szCs w:val="20"/>
          <w:color w:val="auto"/>
        </w:rPr>
      </w:pPr>
    </w:p>
    <w:p>
      <w:pPr>
        <w:jc w:val="both"/>
        <w:ind w:right="80" w:firstLine="348"/>
        <w:spacing w:after="0" w:line="256" w:lineRule="auto"/>
        <w:rPr>
          <w:sz w:val="20"/>
          <w:szCs w:val="20"/>
          <w:color w:val="auto"/>
        </w:rPr>
      </w:pPr>
      <w:r>
        <w:rPr>
          <w:rFonts w:ascii="Arial" w:cs="Arial" w:eastAsia="Arial" w:hAnsi="Arial"/>
          <w:sz w:val="18"/>
          <w:szCs w:val="18"/>
          <w:color w:val="auto"/>
        </w:rPr>
        <w:t>The cyclical nature of the semiconductor industry drives wide fluctuations in available capacity at third-party vendors. On occasion, we have been unable to adequately respond to unexpected increases in customer demand due to capacity constraints and, therefore, were unable to benefit from this incremental demand. We may be unable to obtain adequate foundry, assembly or test capacity from our third-party subcontractors to meet our customers' delivery requirements even if we adequately forecast customer demand.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are significant risks associated with relying on these third-party foundries and subcontractors, including:</w:t>
      </w:r>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by us, our customers or their end customers to qualify a selected supplier;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insolvency of the third-party subcontractors;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control over delivery schedules and quality;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Limited warranties on wafers or products supplied to 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increases in prices or payments in advance for capacity;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need for international-based supply, logistics and financial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Their inability to supply or support new or changing packaging technologies;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 test yields.</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typically do not have long-term supply contracts with our third-party vendors which obligate the vendor to perform services and supply products to us for a specific period, in specific quantities, and at specific prices. Our third-party foundry, assembly and test subcontractors typically do not guarantee that adequate capacity will be available to us within the time required to meet demand for our products. In the event that these vendors fail to meet our demand for whatever reason, we expect that it would take up to 12 months to transition performance of these services to new providers. Such a transition may also require qualification of the new providers by our customers or their end customers.</w:t>
      </w:r>
    </w:p>
    <w:p>
      <w:pPr>
        <w:spacing w:after="0" w:line="19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Since our inception, most of the silicon wafers for the products that we have shipped were manufactured either by TSMC or its affiliates. Our customers typically complete their own qualification process. If we fail to properly balance customer demand across the existing semiconductor fabrication facilities that we utilize or are required by our foundry partners to increase, or otherwise change the number of fab lines that we utilize for our production, we might not be able to fulfill demand for our products and may need to divert our engineering resources away from new product development initiatives to support the fab line transition, which would adversely affect our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incorporate technology licensed from third parties</w:t>
      </w:r>
    </w:p>
    <w:p>
      <w:pPr>
        <w:spacing w:after="0" w:line="225"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We incorporate technology (including software) licensed from third parties in our products. We could be subjected to claims of infringement regardless of our lack of involvement in the development of the licensed technology. Although a third party licensor is typically obligated to indemnify us if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licensed technology infringes on another party's intellectual property rights, such indemnification is typically limited in amount and may be worthless if the licensor becomes insolvent. See </w:t>
      </w:r>
      <w:r>
        <w:rPr>
          <w:rFonts w:ascii="Arial" w:cs="Arial" w:eastAsia="Arial" w:hAnsi="Arial"/>
          <w:sz w:val="18"/>
          <w:szCs w:val="18"/>
          <w:i w:val="1"/>
          <w:iCs w:val="1"/>
          <w:color w:val="auto"/>
        </w:rPr>
        <w:t>Significant litigation over intellectual property in our industry may cause us to become involved in costly and lengthy litigation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which could seriously harm our business. </w:t>
      </w:r>
      <w:r>
        <w:rPr>
          <w:rFonts w:ascii="Arial" w:cs="Arial" w:eastAsia="Arial" w:hAnsi="Arial"/>
          <w:sz w:val="18"/>
          <w:szCs w:val="18"/>
          <w:color w:val="auto"/>
        </w:rPr>
        <w:t>Furthermore, any failure of third party technology to perform properly would adversely affect sales of our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incorporating such technology.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manage growth could materially and adversely affect our business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past growth has placed, and any future growth of our operations will continue to place, a significant strain on our management personnel, systems and resources. We anticipate that we will need to implement a variety of new and upgraded sales, operational and financial enterprise-wide systems, information technology infrastructure, procedures and controls, including the improvement of our accounting and other internal management systems to manage this growth and maintain compliance with regulatory guidelines, including Sarbanes-Oxley Act requirements. To the extent our business grows, our internal management systems and processes will need to improve to ensure that we remain in compliance. We also expect that we will need to continue to expand, train, manage and motivate our workforce. All of these endeavors will require substantial management effort, and we anticipate that we will require additional management personnel and internal processes to manage these efforts and to plan for the succession from time to time of certain persons who have been key management and technical personnel. If we are unable to effectively manage our expanding global operations, including our international headquarters in Singapore, our business could be materially and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relating to product concentration</w:t>
      </w:r>
    </w:p>
    <w:p>
      <w:pPr>
        <w:spacing w:after="0" w:line="225"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derive a substantial portion of our revenues from a limited number of products, and we expect these products to continue to account for a large percentage of our revenues in the near term. Continued market acceptance of these products, is therefore, critical to our future success. In addition, substantially all of our products that we have sold include technology related to one or more of our issued U.S. patents. If these patents are found to be invalid or unenforceable, our competitors could introduce competitive products that could reduce both the volume and price per unit of our products. Our business, operating results, financial condition and cash flows could therefore be adversely affected by:</w:t>
      </w:r>
    </w:p>
    <w:p>
      <w:pPr>
        <w:spacing w:after="0" w:line="183"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decline in demand for any of our more significant products, including our modem products, FM tuners or ProSLIC;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our products to achieve continued market acceptance;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Competitive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technological standards or changes to existing standards that we are unable to address with our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failure to release new products or enhanced versions of our existing products on a timely basis;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failure of our new products to achieve market acceptance.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credit risks related to our accounts receivable</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do not generally obtain letters of credit or other security for payment from customers, distributors or contract manufacturers. Accordingly, we are not protected against accounts receivable default or bankruptcy by these entities. The current economic situation could increase the likelihood of such defaults and bankruptcies. Our ten largest customers or distributors represent a substantial majority of our accounts receivable. If any such customer or distributor, or a material portion of our</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smaller customers or distributors, were to become insolvent or otherwise not satisfy their obligations to us, we could be materially harmed.</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depend on our key personnel to manage our business effectively in a rapidly changing market, and if we are unable to retain our current personnel and hire additional personnel, our ability to develop and successfully market our products could be harmed</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believe our future success will depend in large part upon our ability to attract and retain highly skilled managerial, engineering, sales and marketing personnel. We believe that our future success will be dependent on retaining the services of our key personnel, developing their successors and certain internal processes to reduce our reliance on specific individuals, and on properly managing the transition of key roles when they occur. There is currently a shortage of qualified personnel with significant experience in the design, development, manufacturing, marketing and sales of analog and mixed-signal ICs. In particular, there is a shortage of engineers who are familiar with the intricacies of the design and manufacturability of analog elements, and competition for such personnel is intense. Our key technical personnel represent a significant asset and serve as the primary source for our technological and product innovations. We may not be successful in attracting and retaining sufficient numbers of technical personnel to support our anticipated growth. The loss of any of our key employees or the inability to attract or retain qualified personnel both in the United States and internationally, including engineers, sales, applications and marketing personnel, could delay the development and introduction of, and negatively impact our ability to sell, our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dispositions could harm our financial condition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disposition of a product line would entail a number of risks that could materially and adversely affect our business and operating results, including:</w:t>
      </w:r>
    </w:p>
    <w:p>
      <w:pPr>
        <w:spacing w:after="0" w:line="262"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management's time and attention from our core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separating the divested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to relations with customers who previously purchased products from our disposed product line;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leverage with suppliers due to reduced aggregate volume;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related to employee relations;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associated with the transfer and licensing of intellectual property;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Security risks and other liabilities related to the transition services provided in connection with the disposition;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Tax issues associated with dispositions;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Disposition-related disputes, including disputes over earn-outs and escrows.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The market price of our common stock may be significantly affected by the following factors:</w:t>
      </w:r>
    </w:p>
    <w:p>
      <w:pPr>
        <w:spacing w:after="0" w:line="19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252" w:lineRule="exact"/>
        <w:rPr>
          <w:rFonts w:ascii="Arial" w:cs="Arial" w:eastAsia="Arial" w:hAnsi="Arial"/>
          <w:sz w:val="18"/>
          <w:szCs w:val="18"/>
          <w:color w:val="auto"/>
        </w:rPr>
      </w:pPr>
    </w:p>
    <w:p>
      <w:pPr>
        <w:ind w:left="5620" w:right="2920" w:hanging="5072"/>
        <w:spacing w:after="0" w:line="519" w:lineRule="auto"/>
        <w:tabs>
          <w:tab w:leader="none" w:pos="1082"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such estimates;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market valuations of other technology companies, particularly semiconductor companies;</w:t>
      </w:r>
    </w:p>
    <w:p>
      <w:pPr>
        <w:spacing w:after="0" w:line="252"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Introduction of technologies or product enhancements that reduce the need for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loss of, or decrease in sales to, one or more key customers;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large sale of stock by a significant shareholder;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Dilution from the issuance of our stock in connection with acquisitions;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addition or removal of our stock to or from a stock index fund;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Departures of key personnel;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required expensing of stock awards.</w:t>
      </w:r>
    </w:p>
    <w:p>
      <w:pPr>
        <w:spacing w:after="0" w:line="225"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stock market has experienced extreme volatility that often has been unrelated to the performance of particular companies. These market fluctuations may cause our stock price to fall regardless of our performance.</w:t>
      </w:r>
    </w:p>
    <w:p>
      <w:pPr>
        <w:spacing w:after="0" w:line="18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b w:val="1"/>
          <w:bCs w:val="1"/>
          <w:i w:val="1"/>
          <w:iCs w:val="1"/>
          <w:color w:val="auto"/>
        </w:rPr>
        <w:t>Most of our current manufacturers, assemblers, test service providers, distributors and customers are concentrated in the same geographic region, which increases the risk that a natural disaster, epidemic, labor strike, war or political unrest could disrupt our operations or sales</w:t>
      </w:r>
    </w:p>
    <w:p>
      <w:pPr>
        <w:spacing w:after="0" w:line="139"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Most of TSMC's foundries and several of our assembly and test subcontractors' sites are located in Taiwan and most of our other foundry, assembly and test subcontractors are located in the Pacific Rim region. In addition, many of our customers are located in the Pacific Rim region. The risk of earthquakes in Taiwan and the Pacific Rim region is significant due to the proximity of major earthquake fault lines in the area. Earthquakes, fire, flooding, lack of water or other natural disasters, an epidemic, political unrest, war, labor strikes or work stoppages in countries where our semiconductor manufacturers, assemblers and test subcontractors are located, likely would result in the disruption of our foundry, assembly or test capacity. There can be no assurance that alternate capacity could be obtained on favorable terms, if at all.</w:t>
      </w:r>
    </w:p>
    <w:p>
      <w:pPr>
        <w:spacing w:after="0" w:line="198"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 natural disaster, epidemic, labor strike, war or political unrest where our customers' facilities are located would likely reduce our sales to such customers. North Korea's geopolitical maneuverings have created unrest. Such unrest could create economic uncertainty or instability, could escalate to war or otherwise adversely affect South Korea and our South Korean customers and reduce our sales to such customers, which would materially and adversely affect our operating results. In addition, a significant portion of the assembly and testing of our products occurs in South Korea. Any disruption resulting from these events could also cause significant delays in shipments of our products until we are able to shift our manufacturing, assembling or testing from the affected subcontractor to another third-party vendor.</w:t>
      </w:r>
    </w:p>
    <w:p>
      <w:pPr>
        <w:spacing w:after="0" w:line="198" w:lineRule="exact"/>
        <w:rPr>
          <w:sz w:val="20"/>
          <w:szCs w:val="20"/>
          <w:color w:val="auto"/>
        </w:rPr>
      </w:pPr>
    </w:p>
    <w:p>
      <w:pPr>
        <w:ind w:right="380"/>
        <w:spacing w:after="0" w:line="370" w:lineRule="auto"/>
        <w:rPr>
          <w:sz w:val="20"/>
          <w:szCs w:val="20"/>
          <w:color w:val="auto"/>
        </w:rPr>
      </w:pPr>
      <w:r>
        <w:rPr>
          <w:rFonts w:ascii="Arial" w:cs="Arial" w:eastAsia="Arial" w:hAnsi="Arial"/>
          <w:sz w:val="15"/>
          <w:szCs w:val="15"/>
          <w:b w:val="1"/>
          <w:bCs w:val="1"/>
          <w:i w:val="1"/>
          <w:iCs w:val="1"/>
          <w:color w:val="auto"/>
        </w:rPr>
        <w:t>The semiconductor manufacturing process is highly complex and, from time to time, manufacturing yields may fall below our expectations, which could result in our inability to satisfy demand for our products in a timely manner and may decrease our gross margins due to higher unit costs</w:t>
      </w:r>
    </w:p>
    <w:p>
      <w:pPr>
        <w:spacing w:after="0" w:line="116"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manufacturing of our products is a highly complex and technologically demanding process. Although we work closely with our foundries and assemblers to minimize the likelihood of reduced manufacturing yields, we have from time to time experienced lower than anticipated manufacturing yields. Changes in manufacturing processes or the inadvertent use of defective or contaminated materials could result in lower than anticipated manufacturing yields or unacceptable performance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deficiencies, which could lower our gross margins. If our foundries fail to deliver fabricated silicon wafers of satisfactory quality in a timely manner, we will be unable to meet our customers' demand for our products in a timely manner, which would adversely affect our operating results and damage our customer relationships.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customers to support our products, and some of our customers offer competing products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products are currently used by our customers to produce modems, telephony equipment, mobile handsets, networking equipment and a broad range of other devices. We rely on our customers to provide hardware, software, intellectual property indemnification and other technical support for the products supplied by our customers. If our customers do not provide the required functionality or if our customers do not provide satisfactory support for their products, the demand for these devices that incorporate our products may diminish or we may otherwise be materially adversely affected. Any reduction in the demand for these devices would significantly reduce our revenues.</w:t>
      </w:r>
    </w:p>
    <w:p>
      <w:pPr>
        <w:spacing w:after="0" w:line="197"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certain products, some of our customers offer their own competitive products. These customers may find it advantageous to support their own offerings in the marketplace in lieu of promoting our products.</w:t>
      </w:r>
    </w:p>
    <w:p>
      <w:pPr>
        <w:spacing w:after="0" w:line="18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could seek to raise additional capital in the future through the issuance of equity or debt securities, but additional capital may not be available on terms acceptable to us, or at all</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believe that our existing cash, cash equivalents and investments will be sufficient to meet our working capital needs, capital expenditures, investment requirements and commitments for at least the next 12 months. However, it is possible that we may need to raise additional funds to finance our activities or to facilitate acquisitions of other businesses, products, intellectual property or technologies. We believe we could raise these funds, if needed, by selling equity or debt securities to the public or to selected investors. In addition, even though we may not need additional funds, we may still elect to sell additional equity or debt securities or obtain credit facilities for other reasons. However, we may not be able to obtain additional funds on favorable terms, or at all. If we decide to raise additional funds by issuing equity or convertible debt securities, the ownership percentages of existing shareholders would be reduced.</w:t>
      </w:r>
    </w:p>
    <w:p>
      <w:pPr>
        <w:spacing w:after="0" w:line="17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We are a relatively small company with limited resources compared to some of our current and potential competitors and we may not be able to compete effectively and increase market share</w:t>
      </w:r>
    </w:p>
    <w:p>
      <w:pPr>
        <w:spacing w:after="0" w:line="186"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Some of our current and potential competitors have longer operating histories, significantly greater resources and name recognition and a larger base of customers than we have. As a result, these competitors may have greater credibility with our existing and potential customers. They also may be able to adopt more aggressive pricing policies and devote greater resources to the development, promotion and sale of their products than we can to ours. In addition, some of our current and potential competitors have already established supplier or joint development relationships with the decision makers at our current or potential customers. These competitors may be able to leverage their existing relationships to discourage their customers from purchasing products from us or persuade them to replace our products with their products. Our competitors may also offer bundled solutions offering a more complete product despite the technical merits or advantages of our products. These competitors may elect not to support our products which could complicate our sales efforts. These and other competitive pressures may prevent us from competing successfully against current or future competitors, and may materially harm our business. Competition could decrease our prices, reduce our sales, lower our gross margins and/or decrease our market share.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Provisions in our charter documents and Delaware law could prevent, delay or impede a change in control of us and may reduce the market price of our common stock</w:t>
      </w:r>
    </w:p>
    <w:p>
      <w:pPr>
        <w:spacing w:after="0" w:line="186"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Provisions of our certificate of incorporation and bylaws could have the effect of discouraging, delaying or preventing a merger or acquisition that a stockholder may consider favorable. For example, our certificate of incorporation and bylaws provide for:</w:t>
      </w:r>
    </w:p>
    <w:p>
      <w:pPr>
        <w:spacing w:after="0" w:line="19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division of our Board of Directors into three classes to be elected on a staggered basis, one class each year;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ability of our Board of Directors to issue shares of our preferred stock in one or more series without further authorization of our stockholders;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Elimination of the right of stockholders to call a special meeting of stockholders;</w:t>
      </w:r>
    </w:p>
    <w:p>
      <w:pPr>
        <w:spacing w:after="0" w:line="252"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requirement that stockholders provide advance notice of any stockholder nominations of directors or any proposal of new business to be considered at any meeting of stockholders;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requirement that a supermajority vote be obtained to amend or repeal certain provisions of our certificate of incorporation.</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also are subject to the anti-takeover laws of Delaware which may discourage, delay or prevent someone from acquiring or merging with us, which may adversely affect the market price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cyclical nature of the semiconductor industry, which has been subject to significant fluctuations</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semiconductor industry is highly cyclical and is characterized by constant and rapid technological change, rapid product obsolescence and price erosion, evolving standards, short product life cycles and wide fluctuations in product supply and demand. The industry has experienced significant fluctuations, often connected with, or in anticipation of, maturing product cycles and new product introductions of both semiconductor companies' and their customers' products and fluctuations in general economic conditions. Deteriorating general worldwide economic conditions, including reduced economic activity, concerns about credit and inflation, increased energy costs, decreased consumer confidence, reduced corporate profits, decreased spending and similar adverse business conditions, would make it very difficult for our customers, our vendors, and us to accurately forecast and plan future business activities and could cause U.S. and foreign businesses to slow spending on our products. We cannot predict the timing, strength, or duration of any economic slowdown or economic recovery. If the economy or markets in which we operate deteriorate, our business, financial condition, and results of operations would likely be materially and adversely affected.</w:t>
      </w:r>
    </w:p>
    <w:p>
      <w:pPr>
        <w:spacing w:after="0" w:line="174"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Downturns have been characterized by diminished product demand, production overcapacity, high inventory levels and accelerated erosion of average selling prices. In the recent past, we believe the semiconductor industry suffered a downturn due in large part to adverse conditions in the global credit and financial markets, including diminished liquidity and credit availability, declines in consumer confidence, declines in economic growth, increased unemployment rates and general uncertainty regarding the economy. Such downturns may have a material adverse effect on our business and operating results.</w:t>
      </w:r>
    </w:p>
    <w:p>
      <w:pPr>
        <w:spacing w:after="0" w:line="167"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Upturns have been characterized by increased product demand and production capacity constraints created by increased competition for access to third-party foundry, assembly and test capacity. We are dependent on the availability of such capacity to manufacture, assemble and test our ICs. None of our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third-party foundry, assembly or test subcontractors have provided assurances that adequate capacity will be available to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average selling prices of our products could decrease rapidly which may negatively impact our revenues and gross margins</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may experience substantial period-to-period fluctuations in future operating results due to the erosion of our average selling prices. We have reduced the average unit price of our products in anticipation of or in response to competitive pricing pressures, new product introductions by us or our competitors and other factors. If we are unable to offset any such reductions in our average selling prices by increasing our sales volumes, increasing our sales content per application or reducing production costs, our gross margins and revenues will suffer. To maintain our gross margin percentage, we will need to develop and introduce new products and product enhancements on a timely basis and continually reduce our costs. Our failure to do so could cause our revenues and gross margin percentage to decline.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within the numerous markets we target may reduce sales of our products and reduce our market share</w:t>
      </w:r>
    </w:p>
    <w:p>
      <w:pPr>
        <w:spacing w:after="0" w:line="225" w:lineRule="exact"/>
        <w:rPr>
          <w:sz w:val="20"/>
          <w:szCs w:val="20"/>
          <w:color w:val="auto"/>
        </w:rPr>
      </w:pPr>
    </w:p>
    <w:p>
      <w:pPr>
        <w:ind w:right="40" w:firstLine="348"/>
        <w:spacing w:after="0" w:line="309" w:lineRule="auto"/>
        <w:rPr>
          <w:sz w:val="20"/>
          <w:szCs w:val="20"/>
          <w:color w:val="auto"/>
        </w:rPr>
      </w:pPr>
      <w:r>
        <w:rPr>
          <w:rFonts w:ascii="Arial" w:cs="Arial" w:eastAsia="Arial" w:hAnsi="Arial"/>
          <w:sz w:val="15"/>
          <w:szCs w:val="15"/>
          <w:color w:val="auto"/>
        </w:rPr>
        <w:t>The markets for semiconductors in general, and for mixed-signal ICs in particular, are intensely competitive. We expect that the market for our products will continually evolve and will be subject to rapid technological change. In addition, as we target and supply products to numerous markets and applications, we face competition from a relatively large number of competitors. We compete with Analog Devices, Atmel, Broadcom, Conexant, Cypress, Epson, Freescale, IDT, Lantiq, LSI, Maxim Integrated Products, Microchip, NXP Semiconductors, Renesas, Sony Semiconductor, ST-Ericsson, STMicroelectronics, Texas Instruments, Vectron International, Zarlink Semiconductor and others. We expect to face competition in the future from our current competitors, other manufacturers and designers of semiconductors, and start-up semiconductor design companies. As the markets for communications products grow, we also may face competition from traditional communications device companies. These companies may enter the mixed-signal semiconductor market by introducing their own ICs or by entering into strategic relationships with or acquiring other existing providers of semiconductor products. In addition, large companies may restructure their operations to create separate companies or may acquire new businesses that are focused on providing the types of products we produce or acquire our customers.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must conform to industry standards and technology in order to be accepted by end users in our markets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Generally, our products comprise only a part of a device. All components of such devices must uniformly comply with industry standards in order to operate efficiently together. We depend on companies that provide other components of the devices to support prevailing industry standards. Many of these companies are significantly larger and more influential in affecting industry standards than we are. Some industry standards may not be widely adopted or implemented uniformly, and competing standards may emerge that may be preferred by our customers or end users. If larger companies do not support the same industry standards that we do, or if competing standards emerge, market acceptance of our products could be adversely affected which would harm our business.</w:t>
      </w:r>
    </w:p>
    <w:p>
      <w:pPr>
        <w:spacing w:after="0" w:line="170"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Products for certain applications are based on industry standards that are continually evolving. Our ability to compete in the future will depend on our ability to identify and ensure compliance with these evolving industry standards. The emergence of new industry standards could render our products incompatible with products developed by other suppliers. As a result, we could be required to invest significant time and effort and to incur significant expense to redesign our products to ensure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compliance with relevant standards. If our products are not in compliance with prevailing industry standards for a significant period of time, we could miss opportunities to achieve crucial design wins.</w:t>
      </w:r>
    </w:p>
    <w:p>
      <w:pPr>
        <w:spacing w:after="0" w:line="186"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Our pursuit of necessary technological advances may require substantial time and expense. We may not be successful in developing or using new technologies or in developing new products or product enhancements that achieve market acceptance. If our ICs fail to achieve market acceptance, our growth prospects, operating results and competitive position could be adversely affected.</w:t>
      </w:r>
    </w:p>
    <w:p>
      <w:pPr>
        <w:spacing w:after="0" w:line="18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staff of the SEC reviewed our Annual Report on Form 10-K for the year ended January 2, 2010 and issued a letter dated June 30, 2010. We believe that all matters addressed in that letter have been resolved, except that we are still in discussions regarding whether we may exclude disclosure of the historical performance targets used for named executive officer compensation on the basis that such disclosure could result in competitive harm.</w:t>
      </w:r>
    </w:p>
    <w:p>
      <w:pPr>
        <w:spacing w:after="0" w:line="15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31"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Our primary facilities, housing engineering, sales and marketing, administration and test operations, are located in Austin, Texas. Our Austin, Texas operations currently occupy approximately 190,000 square feet of leased floor space with lease terms expiring in 2013. In addition to these properties, we lease smaller facilities in various locations in the United States, China, France, Germany, Hungary, Ireland, Japan, Portugal, South Korea, Singapore, Taiwan and the United Kingdom for engineering, sales and marketing, administrative and manufacturing support activities. We believe that these facilities are suitable and adequate to meet our current operating needs.</w:t>
      </w:r>
    </w:p>
    <w:p>
      <w:pPr>
        <w:spacing w:after="0" w:line="1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Litigation</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On December 6, 2001, a class action complaint for violations of U.S. federal securities laws was filed in the United States District Court for the Southern District of New York against us, four of our officers individually and the three investment banking firms who served as representatives of the underwriters in connection with our initial public offering of common stock. The Consolidated Amended Complaint alleges that the registration statement and prospectus for our initial public offering did not disclose that (1) the underwriters solicited and received additional, excessive and undisclosed commissions from certain investors, and (2) the underwriters had agreed to allocate shares of the offering in exchange for a commitment from the customers to purchase additional shares in the aftermarket at pre-determined higher prices. The Complaint alleges violations of the Securities Act of 1933 and the Securities Exchange Act of 1934. The action seeks damages in an unspecified amount and is being coordinated with approximately 300 other nearly identical actions filed against other companies. A court order dated October 9, 2002 dismissed without prejudice our four officers who had been named individually. On December 5, 2006, the Second Circuit vacated a decision by the District Court granting class certification in six of the coordinated cases, which are intended to serve as test, or "focus" cases. The plaintiffs selected these six cases, which do not include us. On April 6, 2007, the Second Circuit denied a petition for rehearing filed by the plaintiffs, but noted that the plaintiffs could ask the District Court to certify more narrow classes than those that were rejected.</w:t>
      </w:r>
    </w:p>
    <w:p>
      <w:pPr>
        <w:spacing w:after="0" w:line="18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parties in the approximately 300 coordinated cases, including the parties in the case against us, reached a settlement. The insurers for the issuer defendants in the coordinated cases will make the settlement payment on behalf of the issuers, including us. On October 5, 2009, the Court granted final approval of the settlement. Judgment was entered on January 10, 2010. Six notices of appeal and one petition seeking permission to appeal were filed before the United States Court of Appeals for the Second Circuit. Two appeals are proceeding on behalf of objectors to the settlement. Plaintiffs have</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moved to dismiss both appeals. The motions are fully briefed. The remaining objectors withdrew their appeals with prejudice.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As the litigation process is inherently uncertain, we are unable to predict the outcome of the above described matter if the settlement does not survive appeal.</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While we do maintain liability insurance, we could incur losses that are not covered by our liability insurance or that exceed the limits of our liability insurance.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losses could have a material impact on our business and our results of operations or financial position.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We are involved in various other legal proceedings that have arisen in the normal course of business. While the ultimate results of these matters cannot be predicted with certainty, we do not expect them to have a material adverse effect on our consolidated financial position or results of operations.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Holders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registration statement (Registration No. 333-94853) under the Securities Act of 1933, as amended, relating to our initial public offering of our common stock became effective on March 23, 2000. Our common stock is quoted on the NASDAQ National Market (NASDAQ) under the symbol "SLAB". The table below shows the high and low per-share sales prices of our common stock for the periods indicated, as reported by NASDAQ. As of January 31, 2011, there were 131 holders of record of our common stock.</w:t>
      </w:r>
    </w:p>
    <w:p>
      <w:pPr>
        <w:spacing w:after="0" w:line="24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High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Low</w:t>
            </w: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Fiscal Year 2009</w:t>
            </w: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First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28.13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20.40</w:t>
            </w: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26.19</w:t>
            </w: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Third Quarter</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34.59</w:t>
            </w: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40.56</w:t>
            </w:r>
          </w:p>
        </w:tc>
      </w:tr>
      <w:tr>
        <w:trPr>
          <w:trHeight w:val="431"/>
        </w:trPr>
        <w:tc>
          <w:tcPr>
            <w:tcW w:w="5280" w:type="dxa"/>
            <w:vAlign w:val="bottom"/>
          </w:tcPr>
          <w:p>
            <w:pPr>
              <w:spacing w:after="0"/>
              <w:rPr>
                <w:sz w:val="20"/>
                <w:szCs w:val="20"/>
                <w:color w:val="auto"/>
              </w:rPr>
            </w:pPr>
            <w:r>
              <w:rPr>
                <w:rFonts w:ascii="Arial" w:cs="Arial" w:eastAsia="Arial" w:hAnsi="Arial"/>
                <w:sz w:val="18"/>
                <w:szCs w:val="18"/>
                <w:color w:val="auto"/>
              </w:rPr>
              <w:t>Fiscal Year 2010</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7"/>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41.98</w:t>
            </w: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39.84</w:t>
            </w: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34.10</w:t>
            </w:r>
          </w:p>
        </w:tc>
      </w:tr>
      <w:tr>
        <w:trPr>
          <w:trHeight w:val="222"/>
        </w:trPr>
        <w:tc>
          <w:tcPr>
            <w:tcW w:w="5280" w:type="dxa"/>
            <w:vAlign w:val="bottom"/>
          </w:tcPr>
          <w:p>
            <w:pPr>
              <w:ind w:left="120"/>
              <w:spacing w:after="0"/>
              <w:rPr>
                <w:sz w:val="20"/>
                <w:szCs w:val="20"/>
                <w:color w:val="auto"/>
              </w:rPr>
            </w:pPr>
            <w:r>
              <w:rPr>
                <w:rFonts w:ascii="Arial" w:cs="Arial" w:eastAsia="Arial" w:hAnsi="Arial"/>
                <w:sz w:val="18"/>
                <w:szCs w:val="18"/>
                <w:color w:val="auto"/>
              </w:rPr>
              <w:t>Fourth Quarter</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47.47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35.66</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have never declared or paid any cash dividends on our common stock and we do not intend to pay cash dividends in the foreseeable future. We currently expect to retain any future earnings to fund the operation and expansion of our business.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graph depicted below shows a comparison of cumulative total stockholder returns for an investment in Silicon Laboratories Inc. common stock, the NASDAQ Composite Index and the NASDAQ Electronic Components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123190</wp:posOffset>
            </wp:positionV>
            <wp:extent cx="5866130" cy="27527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66130" cy="275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060" w:type="dxa"/>
            <w:vAlign w:val="bottom"/>
            <w:gridSpan w:val="4"/>
          </w:tcPr>
          <w:p>
            <w:pPr>
              <w:spacing w:after="0"/>
              <w:rPr>
                <w:sz w:val="20"/>
                <w:szCs w:val="20"/>
                <w:color w:val="auto"/>
              </w:rPr>
            </w:pPr>
            <w:r>
              <w:rPr>
                <w:rFonts w:ascii="Arial" w:cs="Arial" w:eastAsia="Arial" w:hAnsi="Arial"/>
                <w:sz w:val="14"/>
                <w:szCs w:val="14"/>
                <w:b w:val="1"/>
                <w:bCs w:val="1"/>
                <w:color w:val="auto"/>
              </w:rPr>
              <w:t>Company / Index</w:t>
            </w:r>
          </w:p>
        </w:tc>
        <w:tc>
          <w:tcPr>
            <w:tcW w:w="100" w:type="dxa"/>
            <w:vAlign w:val="bottom"/>
          </w:tcPr>
          <w:p>
            <w:pPr>
              <w:spacing w:after="0"/>
              <w:rPr>
                <w:sz w:val="14"/>
                <w:szCs w:val="14"/>
                <w:color w:val="auto"/>
              </w:rPr>
            </w:pPr>
          </w:p>
        </w:tc>
        <w:tc>
          <w:tcPr>
            <w:tcW w:w="600" w:type="dxa"/>
            <w:vAlign w:val="bottom"/>
          </w:tcPr>
          <w:p>
            <w:pPr>
              <w:jc w:val="right"/>
              <w:ind w:right="17"/>
              <w:spacing w:after="0"/>
              <w:rPr>
                <w:sz w:val="20"/>
                <w:szCs w:val="20"/>
                <w:color w:val="auto"/>
              </w:rPr>
            </w:pPr>
            <w:r>
              <w:rPr>
                <w:rFonts w:ascii="Arial" w:cs="Arial" w:eastAsia="Arial" w:hAnsi="Arial"/>
                <w:sz w:val="14"/>
                <w:szCs w:val="14"/>
                <w:b w:val="1"/>
                <w:bCs w:val="1"/>
                <w:color w:val="auto"/>
                <w:w w:val="88"/>
              </w:rPr>
              <w:t>12/31/05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37"/>
              <w:spacing w:after="0"/>
              <w:rPr>
                <w:sz w:val="20"/>
                <w:szCs w:val="20"/>
                <w:color w:val="auto"/>
              </w:rPr>
            </w:pPr>
            <w:r>
              <w:rPr>
                <w:rFonts w:ascii="Arial" w:cs="Arial" w:eastAsia="Arial" w:hAnsi="Arial"/>
                <w:sz w:val="14"/>
                <w:szCs w:val="14"/>
                <w:b w:val="1"/>
                <w:bCs w:val="1"/>
                <w:color w:val="auto"/>
                <w:w w:val="88"/>
              </w:rPr>
              <w:t>12/30/06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7"/>
              <w:spacing w:after="0"/>
              <w:rPr>
                <w:sz w:val="20"/>
                <w:szCs w:val="20"/>
                <w:color w:val="auto"/>
              </w:rPr>
            </w:pPr>
            <w:r>
              <w:rPr>
                <w:rFonts w:ascii="Arial" w:cs="Arial" w:eastAsia="Arial" w:hAnsi="Arial"/>
                <w:sz w:val="14"/>
                <w:szCs w:val="14"/>
                <w:b w:val="1"/>
                <w:bCs w:val="1"/>
                <w:color w:val="auto"/>
                <w:w w:val="84"/>
              </w:rPr>
              <w:t>12/29/07</w:t>
            </w: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rPr>
              <w:t>01/03/09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7"/>
              <w:spacing w:after="0"/>
              <w:rPr>
                <w:sz w:val="20"/>
                <w:szCs w:val="20"/>
                <w:color w:val="auto"/>
              </w:rPr>
            </w:pPr>
            <w:r>
              <w:rPr>
                <w:rFonts w:ascii="Arial" w:cs="Arial" w:eastAsia="Arial" w:hAnsi="Arial"/>
                <w:sz w:val="14"/>
                <w:szCs w:val="14"/>
                <w:b w:val="1"/>
                <w:bCs w:val="1"/>
                <w:color w:val="auto"/>
                <w:w w:val="84"/>
              </w:rPr>
              <w:t>01/02/10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7"/>
              <w:spacing w:after="0"/>
              <w:rPr>
                <w:sz w:val="20"/>
                <w:szCs w:val="20"/>
                <w:color w:val="auto"/>
              </w:rPr>
            </w:pPr>
            <w:r>
              <w:rPr>
                <w:rFonts w:ascii="Arial" w:cs="Arial" w:eastAsia="Arial" w:hAnsi="Arial"/>
                <w:sz w:val="14"/>
                <w:szCs w:val="14"/>
                <w:b w:val="1"/>
                <w:bCs w:val="1"/>
                <w:color w:val="auto"/>
                <w:w w:val="84"/>
              </w:rPr>
              <w:t>01/01/11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Silicon Laboratories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69.72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NASDAQ Composite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112.51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122.09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72.15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104.22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122.52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NASDAQ Electronic Components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55.40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268" w:lineRule="auto"/>
        <w:tabs>
          <w:tab w:leader="none" w:pos="1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graph assumes that $100 was invested in our common stock and in each index at the market close on December 31, 2005, and that all dividends were reinvested. No cash dividends have been declared on our common stock.</w:t>
      </w:r>
    </w:p>
    <w:p>
      <w:pPr>
        <w:spacing w:after="0" w:line="212" w:lineRule="exact"/>
        <w:rPr>
          <w:rFonts w:ascii="Arial" w:cs="Arial" w:eastAsia="Arial" w:hAnsi="Arial"/>
          <w:sz w:val="18"/>
          <w:szCs w:val="18"/>
          <w:color w:val="auto"/>
        </w:rPr>
      </w:pPr>
    </w:p>
    <w:p>
      <w:pPr>
        <w:ind w:left="1680" w:hanging="531"/>
        <w:spacing w:after="0"/>
        <w:tabs>
          <w:tab w:leader="none" w:pos="1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Stockholder returns over the indicated period should not be considered indicative of future stockholder returns.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repurchases of our common stock during the three months ended January 1, 2011:</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 Purchased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1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Publicly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2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Total Number of</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6"/>
              </w:rPr>
              <w:t>Paid per</w:t>
            </w:r>
          </w:p>
        </w:tc>
        <w:tc>
          <w:tcPr>
            <w:tcW w:w="1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Announced Plans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Under the Plans</w:t>
            </w:r>
          </w:p>
        </w:tc>
        <w:tc>
          <w:tcPr>
            <w:tcW w:w="0" w:type="dxa"/>
            <w:vAlign w:val="bottom"/>
          </w:tcPr>
          <w:p>
            <w:pPr>
              <w:spacing w:after="0"/>
              <w:rPr>
                <w:sz w:val="1"/>
                <w:szCs w:val="1"/>
                <w:color w:val="auto"/>
              </w:rPr>
            </w:pPr>
          </w:p>
        </w:tc>
      </w:tr>
      <w:tr>
        <w:trPr>
          <w:trHeight w:val="161"/>
        </w:trPr>
        <w:tc>
          <w:tcPr>
            <w:tcW w:w="392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220" w:type="dxa"/>
            <w:vAlign w:val="bottom"/>
          </w:tcPr>
          <w:p>
            <w:pPr>
              <w:ind w:left="100"/>
              <w:spacing w:after="0"/>
              <w:rPr>
                <w:sz w:val="20"/>
                <w:szCs w:val="20"/>
                <w:color w:val="auto"/>
              </w:rPr>
            </w:pPr>
            <w:r>
              <w:rPr>
                <w:rFonts w:ascii="Arial" w:cs="Arial" w:eastAsia="Arial" w:hAnsi="Arial"/>
                <w:sz w:val="14"/>
                <w:szCs w:val="14"/>
                <w:b w:val="1"/>
                <w:bCs w:val="1"/>
                <w:color w:val="auto"/>
                <w:w w:val="90"/>
              </w:rPr>
              <w:t>Shares Purchased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59"/>
              <w:spacing w:after="0"/>
              <w:rPr>
                <w:sz w:val="20"/>
                <w:szCs w:val="20"/>
                <w:color w:val="auto"/>
              </w:rPr>
            </w:pPr>
            <w:r>
              <w:rPr>
                <w:rFonts w:ascii="Arial" w:cs="Arial" w:eastAsia="Arial" w:hAnsi="Arial"/>
                <w:sz w:val="14"/>
                <w:szCs w:val="14"/>
                <w:b w:val="1"/>
                <w:bCs w:val="1"/>
                <w:color w:val="auto"/>
                <w:w w:val="87"/>
              </w:rPr>
              <w:t>Share</w:t>
            </w:r>
          </w:p>
        </w:tc>
        <w:tc>
          <w:tcPr>
            <w:tcW w:w="1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6"/>
              </w:rPr>
              <w:t>or Programs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or 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3, 2010 - October 30, 2010</w:t>
            </w:r>
          </w:p>
        </w:tc>
        <w:tc>
          <w:tcPr>
            <w:tcW w:w="122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3920" w:type="dxa"/>
            <w:vAlign w:val="bottom"/>
            <w:gridSpan w:val="3"/>
          </w:tcPr>
          <w:p>
            <w:pPr>
              <w:spacing w:after="0"/>
              <w:rPr>
                <w:sz w:val="20"/>
                <w:szCs w:val="20"/>
                <w:color w:val="auto"/>
              </w:rPr>
            </w:pPr>
            <w:r>
              <w:rPr>
                <w:rFonts w:ascii="Arial" w:cs="Arial" w:eastAsia="Arial" w:hAnsi="Arial"/>
                <w:sz w:val="18"/>
                <w:szCs w:val="18"/>
                <w:color w:val="auto"/>
              </w:rPr>
              <w:t>October 31, 2010 - November 27, 2010</w:t>
            </w:r>
          </w:p>
        </w:tc>
        <w:tc>
          <w:tcPr>
            <w:tcW w:w="1220" w:type="dxa"/>
            <w:vAlign w:val="bottom"/>
          </w:tcPr>
          <w:p>
            <w:pPr>
              <w:ind w:left="1040"/>
              <w:spacing w:after="0"/>
              <w:rPr>
                <w:sz w:val="20"/>
                <w:szCs w:val="20"/>
                <w:color w:val="auto"/>
              </w:rPr>
            </w:pPr>
            <w:r>
              <w:rPr>
                <w:rFonts w:ascii="Arial" w:cs="Arial" w:eastAsia="Arial" w:hAnsi="Arial"/>
                <w:sz w:val="18"/>
                <w:szCs w:val="18"/>
                <w:color w:val="auto"/>
                <w:w w:val="88"/>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4"/>
                <w:szCs w:val="24"/>
                <w:color w:val="auto"/>
              </w:rPr>
            </w:pPr>
          </w:p>
        </w:tc>
        <w:tc>
          <w:tcPr>
            <w:tcW w:w="1220" w:type="dxa"/>
            <w:vAlign w:val="bottom"/>
          </w:tcPr>
          <w:p>
            <w:pPr>
              <w:ind w:left="1040"/>
              <w:spacing w:after="0"/>
              <w:rPr>
                <w:sz w:val="20"/>
                <w:szCs w:val="20"/>
                <w:color w:val="auto"/>
              </w:rPr>
            </w:pPr>
            <w:r>
              <w:rPr>
                <w:rFonts w:ascii="Arial" w:cs="Arial" w:eastAsia="Arial" w:hAnsi="Arial"/>
                <w:sz w:val="18"/>
                <w:szCs w:val="18"/>
                <w:color w:val="auto"/>
                <w:w w:val="88"/>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110,000,013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28, 2010 - January 1, 2011</w:t>
            </w:r>
          </w:p>
        </w:tc>
        <w:tc>
          <w:tcPr>
            <w:tcW w:w="122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110,000,013</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92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2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20" w:type="dxa"/>
            <w:vAlign w:val="bottom"/>
            <w:gridSpan w:val="3"/>
            <w:vMerge w:val="continue"/>
          </w:tcPr>
          <w:p>
            <w:pPr>
              <w:spacing w:after="0"/>
              <w:rPr>
                <w:sz w:val="18"/>
                <w:szCs w:val="18"/>
                <w:color w:val="auto"/>
              </w:rPr>
            </w:pPr>
          </w:p>
        </w:tc>
        <w:tc>
          <w:tcPr>
            <w:tcW w:w="1220" w:type="dxa"/>
            <w:vAlign w:val="bottom"/>
            <w:tcBorders>
              <w:top w:val="single" w:sz="8" w:color="auto"/>
            </w:tcBorders>
          </w:tcPr>
          <w:p>
            <w:pPr>
              <w:ind w:left="104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220" w:type="dxa"/>
            <w:vAlign w:val="bottom"/>
            <w:tcBorders>
              <w:top w:val="single" w:sz="8" w:color="auto"/>
            </w:tcBorders>
          </w:tcPr>
          <w:p>
            <w:pPr>
              <w:ind w:left="10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July 2010, our Board of Directors authorized a program to repurchase up to $150 million of our common stock through 2011. The program allows for repurchases to be made in the open market or in private transactions, including structured or accelerated transactions, subject to applicable legal requirements and market conditions.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231"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Please read this selected consolidated financial data in conjunction with "Management's Discussion and Analysis of Financial Condition and Results of Operations," our Consolidated Financial Statements and the notes to those statements included in this Form 10-K.</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6"/>
              </w:rPr>
              <w:t>Fiscal Year</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74"/>
              <w:spacing w:after="0" w:line="142" w:lineRule="exact"/>
              <w:rPr>
                <w:sz w:val="20"/>
                <w:szCs w:val="20"/>
                <w:color w:val="auto"/>
              </w:rPr>
            </w:pPr>
            <w:r>
              <w:rPr>
                <w:rFonts w:ascii="Arial" w:cs="Arial" w:eastAsia="Arial" w:hAnsi="Arial"/>
                <w:sz w:val="14"/>
                <w:szCs w:val="14"/>
                <w:b w:val="1"/>
                <w:bCs w:val="1"/>
                <w:color w:val="auto"/>
                <w:w w:val="89"/>
              </w:rPr>
              <w:t>2008</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20" w:type="dxa"/>
            <w:vAlign w:val="bottom"/>
            <w:gridSpan w:val="8"/>
          </w:tcPr>
          <w:p>
            <w:pPr>
              <w:jc w:val="center"/>
              <w:ind w:right="400"/>
              <w:spacing w:after="0" w:line="142" w:lineRule="exact"/>
              <w:rPr>
                <w:sz w:val="20"/>
                <w:szCs w:val="20"/>
                <w:color w:val="auto"/>
              </w:rPr>
            </w:pPr>
            <w:r>
              <w:rPr>
                <w:rFonts w:ascii="Arial" w:cs="Arial" w:eastAsia="Arial" w:hAnsi="Arial"/>
                <w:sz w:val="14"/>
                <w:szCs w:val="14"/>
                <w:b w:val="1"/>
                <w:bCs w:val="1"/>
                <w:color w:val="auto"/>
                <w:w w:val="85"/>
              </w:rPr>
              <w:t>(in thousands, except per share data)</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Consolidated Statements of Income Data</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430"/>
        </w:trPr>
        <w:tc>
          <w:tcPr>
            <w:tcW w:w="412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493,341</w:t>
            </w:r>
          </w:p>
        </w:tc>
        <w:tc>
          <w:tcPr>
            <w:tcW w:w="2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441,020</w:t>
            </w:r>
          </w:p>
        </w:tc>
        <w:tc>
          <w:tcPr>
            <w:tcW w:w="2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415,630</w:t>
            </w:r>
          </w:p>
        </w:tc>
        <w:tc>
          <w:tcPr>
            <w:tcW w:w="2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337,461</w:t>
            </w:r>
          </w:p>
        </w:tc>
        <w:tc>
          <w:tcPr>
            <w:tcW w:w="2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288,156</w:t>
            </w:r>
          </w:p>
        </w:tc>
        <w:tc>
          <w:tcPr>
            <w:tcW w:w="1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86,671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66,511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43,656(3)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73,242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73,092(2)</w:t>
            </w: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32,935(3)</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39,687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15,343</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Income from discontinued operations, net of income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taxes</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165,149(5)</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15,815</w:t>
            </w: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73,242</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73,092(2) $</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32,935(3) $</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w w:val="94"/>
              </w:rPr>
              <w:t>204,836(5) $</w:t>
            </w:r>
          </w:p>
        </w:tc>
        <w:tc>
          <w:tcPr>
            <w:tcW w:w="640" w:type="dxa"/>
            <w:vAlign w:val="bottom"/>
          </w:tcPr>
          <w:p>
            <w:pPr>
              <w:jc w:val="right"/>
              <w:spacing w:after="0"/>
              <w:rPr>
                <w:sz w:val="20"/>
                <w:szCs w:val="20"/>
                <w:color w:val="auto"/>
              </w:rPr>
            </w:pPr>
            <w:r>
              <w:rPr>
                <w:rFonts w:ascii="Arial" w:cs="Arial" w:eastAsia="Arial" w:hAnsi="Arial"/>
                <w:sz w:val="18"/>
                <w:szCs w:val="18"/>
                <w:color w:val="auto"/>
              </w:rPr>
              <w:t>31,158</w:t>
            </w:r>
          </w:p>
        </w:tc>
        <w:tc>
          <w:tcPr>
            <w:tcW w:w="16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per share:</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12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1.63</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0.68</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0.72</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60" w:type="dxa"/>
            <w:vAlign w:val="bottom"/>
            <w:shd w:val="clear" w:color="auto" w:fill="CCEEFF"/>
          </w:tcPr>
          <w:p>
            <w:pPr>
              <w:spacing w:after="0"/>
              <w:rPr>
                <w:sz w:val="18"/>
                <w:szCs w:val="18"/>
                <w:color w:val="auto"/>
              </w:rPr>
            </w:pPr>
          </w:p>
        </w:tc>
      </w:tr>
      <w:tr>
        <w:trPr>
          <w:trHeight w:val="431"/>
        </w:trPr>
        <w:tc>
          <w:tcPr>
            <w:tcW w:w="4120" w:type="dxa"/>
            <w:vAlign w:val="bottom"/>
            <w:gridSpan w:val="3"/>
          </w:tcPr>
          <w:p>
            <w:pPr>
              <w:spacing w:after="0"/>
              <w:rPr>
                <w:sz w:val="20"/>
                <w:szCs w:val="20"/>
                <w:color w:val="auto"/>
              </w:rPr>
            </w:pPr>
            <w:r>
              <w:rPr>
                <w:rFonts w:ascii="Arial" w:cs="Arial" w:eastAsia="Arial" w:hAnsi="Arial"/>
                <w:sz w:val="18"/>
                <w:szCs w:val="18"/>
                <w:i w:val="1"/>
                <w:iCs w:val="1"/>
                <w:color w:val="auto"/>
              </w:rPr>
              <w:t>Consolidated Balance Sheet Data</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3"/>
        </w:trPr>
        <w:tc>
          <w:tcPr>
            <w:tcW w:w="20" w:type="dxa"/>
            <w:vAlign w:val="bottom"/>
          </w:tcPr>
          <w:p>
            <w:pPr>
              <w:spacing w:after="0"/>
              <w:rPr>
                <w:sz w:val="24"/>
                <w:szCs w:val="24"/>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investments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383,362(1) $</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434,899</w:t>
            </w: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325,360(4) $</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572,974(6) $</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386,292</w:t>
            </w: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414,073(1)</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435,359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289,716(4)</w:t>
            </w: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599,300(6)</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402,085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727,658(1)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742,838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624,245(4)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840,246(6)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686,995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Long-term obligations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22,372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24,403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48,789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43,309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16,691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625,430(1)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629,796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502,460(4)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703,545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568,682</w:t>
            </w: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c>
          <w:tcPr>
            <w:tcW w:w="1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repurchases of our common stock in fiscal 2010.</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a benefit related to the resolution of prior year uncertain tax benefits.</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a charge for in-process research and development costs in connection with our acquisition of Integration Associates.</w:t>
      </w:r>
    </w:p>
    <w:p>
      <w:pPr>
        <w:spacing w:after="0" w:line="261" w:lineRule="exact"/>
        <w:rPr>
          <w:rFonts w:ascii="Arial" w:cs="Arial" w:eastAsia="Arial" w:hAnsi="Arial"/>
          <w:sz w:val="16"/>
          <w:szCs w:val="16"/>
          <w:color w:val="auto"/>
        </w:rPr>
      </w:pPr>
    </w:p>
    <w:p>
      <w:pPr>
        <w:ind w:left="1680" w:hanging="531"/>
        <w:spacing w:after="0"/>
        <w:tabs>
          <w:tab w:leader="none" w:pos="1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repurchases of our common stock in fiscal 2008.</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a gain on the sale of our Aero® product lines, net of related income taxes.</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proceeds from the sale of our Aero product lines, less repurchases of our common stock in fiscal 2007.</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The following discussion and analysis of financial condition and results of operations should be read in conjunction with the Consolidated Financial Statements and related notes thereto included elsewhere in this report. This discussion contains forward-looking statements. Please see the "Cautionary Statement" and "Risk Factors" above for discussions of the uncertainties, risks and assumptions associated with these statements. Our fiscal year-end financial reporting periods are a 52- or 53- week year ending on the Saturday closest to December 31st. Fiscal 2010 and 2009 were 52-week years and ended on January 1, 2011 and January 2, 2010, respectively. Fiscal year 2008 was a 53-week year with the extra week occurring in the first quarter and ended on January 3, 2009.</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design and develop proprietary, analog-intensive, mixed-signal integrated circuits (ICs) for a broad range of applications. Mixed-signal ICs are electronic components that convert real-world analog signals, such as sound and radio waves, into digital signals that electronic products can process. Therefore, mixed-signal ICs are critical components in a broad range of applications in a variety of markets, including communications, consumer, industrial, automotive, medical and power management. Our major customers include Apple, Cisco, Huawei, LG Electronics, Nokia, Pace (formerly Philips), Panasonic, Samsung, Technicolor (formerly Thomson) and Varian Medical Systems.</w:t>
      </w:r>
    </w:p>
    <w:p>
      <w:pPr>
        <w:spacing w:after="0" w:line="197" w:lineRule="exact"/>
        <w:rPr>
          <w:sz w:val="20"/>
          <w:szCs w:val="20"/>
          <w:color w:val="auto"/>
        </w:rPr>
      </w:pPr>
    </w:p>
    <w:p>
      <w:pPr>
        <w:ind w:right="120" w:firstLine="341"/>
        <w:spacing w:after="0" w:line="255" w:lineRule="auto"/>
        <w:rPr>
          <w:sz w:val="20"/>
          <w:szCs w:val="20"/>
          <w:color w:val="auto"/>
        </w:rPr>
      </w:pPr>
      <w:r>
        <w:rPr>
          <w:rFonts w:ascii="Arial" w:cs="Arial" w:eastAsia="Arial" w:hAnsi="Arial"/>
          <w:sz w:val="18"/>
          <w:szCs w:val="18"/>
          <w:color w:val="auto"/>
        </w:rPr>
        <w:t>As a "fabless" semiconductor company, we rely on third-party semiconductor fabricators in Asia, and to a lesser extent the United States and Europe, to manufacture the silicon wafers that reflect our IC designs. Each wafer contains numerous die, which are cut from the wafer to create a chip for an IC. We rely on third-parties in Asia to assemble, package, and, in most cases, test these devices and ship these units to our customers. Testing performed by such third parties facilitates faster delivery of products to our customers (particularly those located in Asia), shorter production cycle times, lower inventory requirements, lower costs and increased flexibility of test capacity.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expertise in analog-intensive, high-performance, mixed-signal ICs enables us to develop highly differentiated solutions that address multiple markets.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group our products into the following categories:</w:t>
      </w:r>
    </w:p>
    <w:p>
      <w:pPr>
        <w:spacing w:after="0" w:line="232" w:lineRule="exact"/>
        <w:rPr>
          <w:sz w:val="20"/>
          <w:szCs w:val="20"/>
          <w:color w:val="auto"/>
        </w:rPr>
      </w:pPr>
    </w:p>
    <w:p>
      <w:pPr>
        <w:ind w:left="1080" w:right="46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Broad-based products, which include our microcontrollers, timing products (clocks and oscillators), wireless receivers, isolation devices and human interface sensors;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Broadcast products, which include our broadcast audio and video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Access products, which include our embedded modems, Voice over IP (VoIP) products and our Power over Ethernet devices; and</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Mature products, which include certain devices that are at the end of their respective life cycles and therefore receive minimal or no continued research and development investment, including our DSL analog front end ICs and IRDA devices.</w:t>
      </w:r>
    </w:p>
    <w:p>
      <w:pPr>
        <w:spacing w:after="0" w:line="186"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Through acquisitions and internal development efforts, we have continued to diversify our product portfolio and introduce next generation ICs with added functionality and further integration. In April 2010, we acquired Silicon Clocks, Inc., a privately held company that designed and developed microelectromechanical system (MEMS) technology to enable the manufacture of silicon resonators and sensors directly on standard CMOS wafers. The acquired technology is aligned with our efforts to leverage our CMOS-based timing products into high-volume applications such as consumer electronics. In October 2010, we acquired ChipSensors Ltd, a privately held company that created innovative single-chip CMOS sensors designed to detect temperature, humidity and gases.</w:t>
      </w:r>
    </w:p>
    <w:p>
      <w:pPr>
        <w:spacing w:after="0" w:line="154"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In fiscal 2010, we introduced a bridge chip family that simplifies the addition of USB and touch sense connectivity in embedded designs, the expansion of our automotive portfolio with a family of highly integrated AM/FM tuners for car stereos, frequency flexible in-circuit programmable CMOS clock generators, isolated gate drivers designed for high-power Class D audio systems, power management ICs that improve efficiency in Power over Ethernet (PoE) equipment, a Class D amplifier ideal for many portable radios and docking stations, a wireless IC solution designed to be a remote control on a chip, low power capacitive touch-sense microcontrollers, digital isolators and isolated gate drivers designed to replace traditional optocouplers, a digital TV demodulator that combines satellite, terrestrial and cable digital video broadcast (DVB) functions in one highly integrated device, a frequency-flexible timing IC solution for networking and telecommunications applications, a family of ultra-low-power wireless microcontrollers ideal for battery-powered systems and a highly integrated AM/FM receiver for analog tuned radios. We plan to continue to introduce products that increase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content we provide for existing applications, thereby enabling us to serve markets we do not currently address and expanding our total available market opportunity.</w:t>
      </w:r>
    </w:p>
    <w:p>
      <w:pPr>
        <w:spacing w:after="0" w:line="1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had no customers that accounted for more than 10% of our revenues during fiscal 2010 or 2008. During fiscal 2009, we had one customer, Samsung, whose purchases across a variety of product areas represented 16% of our total revenues. In addition to direct sales to customers, some of our end customers purchase products indirectly from us through distributors and contract manufacturers. An end customer purchasing through a contract manufacturer typically instructs such contract manufacturer to obtain our products and incorporate such products with other components for sale by such contract manufacturer to the end customer. Although we actually sell the products to, and are paid by, the distributors and contract manufacturers, we refer to such end customer as our customer. Two of our distributors, Edom Technology and Avnet, represented 28% and 14% of our revenues during fiscal 2010, and 27% and 10% of our revenues during fiscal 2009, respectively. Edom represented 31% of our revenues during fiscal 2008. There were no other distributors or contract manufacturers that accounted for more than 10% of our revenues in fiscal 2010, 2009 or 2008.</w:t>
      </w:r>
    </w:p>
    <w:p>
      <w:pPr>
        <w:spacing w:after="0" w:line="172"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percentage of our revenues derived from customers located outside of the United States was 86% in fiscal 2010 and 88% in fiscal 2009 and 2008. All of our revenues to date have been denominated in U.S. dollars. We believe that a majority of our revenues will continue to be derived from customers outside of the United States.</w:t>
      </w:r>
    </w:p>
    <w:p>
      <w:pPr>
        <w:spacing w:after="0" w:line="194"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sales cycle for our ICs can be as long as 12 months or more. An additional three to six months or more are usually required before a customer ships a significant volume of devices that incorporate our ICs. Due to this lengthy sales cycle, we typically experience a significant delay between incurring research and development and selling, general and administrative expenses, and the corresponding sales. Consequently, if sales in any quarter do not occur when expected, expenses and inventory levels could be disproportionately high, and our operating results for that quarter and, potentially, future quarters would be adversely affected. Moreover, the amount of time between initial research and development and commercialization of a product, if ever, can be substantially longer than the sales cycle for the product. Accordingly, if we incur substantial research and development costs without developing a commercially successful product, our operating results, as well as our growth prospects, could be adversely affected.</w:t>
      </w:r>
    </w:p>
    <w:p>
      <w:pPr>
        <w:spacing w:after="0" w:line="172"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Because many of our ICs are designed for use in consumer products such as televisions, personal video recorders, set-top boxes, portable navigation devices and mobile handsets, we expect that the demand for our products will be typically subject to some degree of seasonal demand. However, rapid changes in our markets and across our product areas make it difficult for us to accurately estimate the impact of seasonal factors on our business.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describes the line items set forth in our Consolidated Statements of Income:</w:t>
      </w:r>
    </w:p>
    <w:p>
      <w:pPr>
        <w:spacing w:after="0" w:line="219"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8"/>
          <w:szCs w:val="18"/>
          <w:b w:val="1"/>
          <w:bCs w:val="1"/>
          <w:color w:val="auto"/>
        </w:rPr>
        <w:t>Revenues.</w:t>
      </w:r>
      <w:r>
        <w:rPr>
          <w:sz w:val="20"/>
          <w:szCs w:val="20"/>
          <w:color w:val="auto"/>
        </w:rPr>
        <w:tab/>
      </w:r>
      <w:r>
        <w:rPr>
          <w:rFonts w:ascii="Arial" w:cs="Arial" w:eastAsia="Arial" w:hAnsi="Arial"/>
          <w:sz w:val="15"/>
          <w:szCs w:val="15"/>
          <w:color w:val="auto"/>
        </w:rPr>
        <w:t>Revenues are generated almost exclusively by sales of our ICs. We recognize revenue on sales when all of the following criteria are met:</w:t>
      </w:r>
    </w:p>
    <w:p>
      <w:pPr>
        <w:spacing w:after="0" w:line="21" w:lineRule="exact"/>
        <w:rPr>
          <w:sz w:val="20"/>
          <w:szCs w:val="20"/>
          <w:color w:val="auto"/>
        </w:rPr>
      </w:pPr>
    </w:p>
    <w:p>
      <w:pPr>
        <w:ind w:firstLine="8"/>
        <w:spacing w:after="0" w:line="252" w:lineRule="auto"/>
        <w:tabs>
          <w:tab w:leader="none" w:pos="19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is persuasive evidence that an arrangement exists, 2) delivery of goods has occurred, 3) the sales price is fixed or determinable, and 4) collectibility is reasonably assured. Generally, we recognize revenue from product sales to direct customers and contract manufacturers upon shipment. Certain of our sales are made to distributors under agreements allowing certain rights of return and price protection on products unsold by distributors. Accordingly, we defer the revenue and cost of revenue on such sales until the distributors sell the product to the end customer. Our products typically carry a one-year replacement warranty. Replacements have been insignificant to date. Our revenues are subject to variation from period to period due to the volume of shipments made within a period, the mix of products we sell and the prices we charge for our products. The vast majority of our revenues were negotiated at prices that reflect a discount from the list prices</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for our products. These discounts are made for a variety of reasons, including: 1) to establish a relationship with a new customer, 2) as an incentive for customers to purchase products in larger volumes, 3) to provide profit margin to our distributors who resell our products or 4) in response to competition. In addition, as a product matures, we expect that the average selling price for such product will decline due to the greater availability of competing products. Our ability to increase revenues in the future is dependent on increased demand for our established products and our ability to ship larger volumes of those products in response to such demand, as well as our ability to develop or acquire new products and subsequently achieve customer acceptance of newly introduced products.</w:t>
      </w:r>
    </w:p>
    <w:p>
      <w:pPr>
        <w:spacing w:after="0" w:line="148" w:lineRule="exact"/>
        <w:rPr>
          <w:sz w:val="20"/>
          <w:szCs w:val="20"/>
          <w:color w:val="auto"/>
        </w:rPr>
      </w:pPr>
    </w:p>
    <w:p>
      <w:pPr>
        <w:ind w:right="140" w:firstLine="351"/>
        <w:spacing w:after="0" w:line="301" w:lineRule="auto"/>
        <w:rPr>
          <w:sz w:val="20"/>
          <w:szCs w:val="20"/>
          <w:color w:val="auto"/>
        </w:rPr>
      </w:pPr>
      <w:r>
        <w:rPr>
          <w:rFonts w:ascii="Arial" w:cs="Arial" w:eastAsia="Arial" w:hAnsi="Arial"/>
          <w:sz w:val="16"/>
          <w:szCs w:val="16"/>
          <w:b w:val="1"/>
          <w:bCs w:val="1"/>
          <w:color w:val="auto"/>
        </w:rPr>
        <w:t xml:space="preserve">Cost of Revenues. </w:t>
      </w:r>
      <w:r>
        <w:rPr>
          <w:rFonts w:ascii="Arial" w:cs="Arial" w:eastAsia="Arial" w:hAnsi="Arial"/>
          <w:sz w:val="16"/>
          <w:szCs w:val="16"/>
          <w:color w:val="auto"/>
        </w:rPr>
        <w:t>Cost of revenues includes the cost of purchasing finished silicon wafers processed by independent foundries; costs associated with</w:t>
      </w:r>
      <w:r>
        <w:rPr>
          <w:rFonts w:ascii="Arial" w:cs="Arial" w:eastAsia="Arial" w:hAnsi="Arial"/>
          <w:sz w:val="16"/>
          <w:szCs w:val="16"/>
          <w:b w:val="1"/>
          <w:bCs w:val="1"/>
          <w:color w:val="auto"/>
        </w:rPr>
        <w:t xml:space="preserve"> </w:t>
      </w:r>
      <w:r>
        <w:rPr>
          <w:rFonts w:ascii="Arial" w:cs="Arial" w:eastAsia="Arial" w:hAnsi="Arial"/>
          <w:sz w:val="16"/>
          <w:szCs w:val="16"/>
          <w:color w:val="auto"/>
        </w:rPr>
        <w:t>assembly, test and shipping of those products; costs of personnel and equipment associated with manufacturing support, logistics and quality assurance; costs of software royalties and amortization of purchased software, other intellectual property license costs and certain acquired intangible assets; an allocated portion of our occupancy costs; and allocable depreciation of testing equipment and leasehold improvements.</w:t>
      </w:r>
    </w:p>
    <w:p>
      <w:pPr>
        <w:spacing w:after="0" w:line="157" w:lineRule="exact"/>
        <w:rPr>
          <w:sz w:val="20"/>
          <w:szCs w:val="20"/>
          <w:color w:val="auto"/>
        </w:rPr>
      </w:pPr>
    </w:p>
    <w:p>
      <w:pPr>
        <w:ind w:right="280" w:firstLine="351"/>
        <w:spacing w:after="0" w:line="301" w:lineRule="auto"/>
        <w:rPr>
          <w:sz w:val="20"/>
          <w:szCs w:val="20"/>
          <w:color w:val="auto"/>
        </w:rPr>
      </w:pPr>
      <w:r>
        <w:rPr>
          <w:rFonts w:ascii="Arial" w:cs="Arial" w:eastAsia="Arial" w:hAnsi="Arial"/>
          <w:sz w:val="16"/>
          <w:szCs w:val="16"/>
          <w:b w:val="1"/>
          <w:bCs w:val="1"/>
          <w:color w:val="auto"/>
        </w:rPr>
        <w:t xml:space="preserve">Research and Development. </w:t>
      </w:r>
      <w:r>
        <w:rPr>
          <w:rFonts w:ascii="Arial" w:cs="Arial" w:eastAsia="Arial" w:hAnsi="Arial"/>
          <w:sz w:val="16"/>
          <w:szCs w:val="16"/>
          <w:color w:val="auto"/>
        </w:rPr>
        <w:t>Research and development expense consists primarily of personnel-related expenses, including stock compensation, new</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mask, wafer, packaging and test costs, external consulting and services costs, equipment tooling, equipment depreciation, amortization of acquired intangible assets, as well as an allocated portion of our occupancy costs for such operations. Research and development activities include the design of new products, refinement of existing products and design of test methodologies to ensure compliance with required specifications.</w:t>
      </w:r>
    </w:p>
    <w:p>
      <w:pPr>
        <w:spacing w:after="0" w:line="157" w:lineRule="exact"/>
        <w:rPr>
          <w:sz w:val="20"/>
          <w:szCs w:val="20"/>
          <w:color w:val="auto"/>
        </w:rPr>
      </w:pPr>
    </w:p>
    <w:p>
      <w:pPr>
        <w:ind w:right="460" w:firstLine="351"/>
        <w:spacing w:after="0" w:line="262" w:lineRule="auto"/>
        <w:rPr>
          <w:sz w:val="20"/>
          <w:szCs w:val="20"/>
          <w:color w:val="auto"/>
        </w:rPr>
      </w:pPr>
      <w:r>
        <w:rPr>
          <w:rFonts w:ascii="Arial" w:cs="Arial" w:eastAsia="Arial" w:hAnsi="Arial"/>
          <w:sz w:val="18"/>
          <w:szCs w:val="18"/>
          <w:b w:val="1"/>
          <w:bCs w:val="1"/>
          <w:color w:val="auto"/>
        </w:rPr>
        <w:t xml:space="preserve">Selling, General and Administrative. </w:t>
      </w:r>
      <w:r>
        <w:rPr>
          <w:rFonts w:ascii="Arial" w:cs="Arial" w:eastAsia="Arial" w:hAnsi="Arial"/>
          <w:sz w:val="18"/>
          <w:szCs w:val="18"/>
          <w:color w:val="auto"/>
        </w:rPr>
        <w:t>Selling, general and administrative expense consists primarily of personnel-related expenses, including stock</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related allocable portion of our occupancy costs, sales commissions to independent sales representatives, applications engineering support, professional fees, legal fees and promotional and marketing expenses.</w:t>
      </w:r>
    </w:p>
    <w:p>
      <w:pPr>
        <w:spacing w:after="0" w:line="186"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b w:val="1"/>
          <w:bCs w:val="1"/>
          <w:color w:val="auto"/>
        </w:rPr>
        <w:t xml:space="preserve">In-Process Research and Development. </w:t>
      </w:r>
      <w:r>
        <w:rPr>
          <w:rFonts w:ascii="Arial" w:cs="Arial" w:eastAsia="Arial" w:hAnsi="Arial"/>
          <w:sz w:val="18"/>
          <w:szCs w:val="18"/>
          <w:color w:val="auto"/>
        </w:rPr>
        <w:t>In-process research and development (IPR&amp;D) represents acquired technology resulting from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combinations that had not achieved technological feasibility as of the acquisition closing date and had no alternative future use. For acquisitions occurring prior to fiscal 2009, these costs were expensed on the date of acquisition. Beginning in fiscal 2009, IPR&amp;D is capitalized until the related projects are completed, at which time they begin to be amortized. IPR&amp;D is written-off if the related projects are abandoned.</w:t>
      </w:r>
    </w:p>
    <w:p>
      <w:pPr>
        <w:spacing w:after="0" w:line="190" w:lineRule="exact"/>
        <w:rPr>
          <w:sz w:val="20"/>
          <w:szCs w:val="20"/>
          <w:color w:val="auto"/>
        </w:rPr>
      </w:pPr>
    </w:p>
    <w:p>
      <w:pPr>
        <w:ind w:left="360"/>
        <w:spacing w:after="0"/>
        <w:tabs>
          <w:tab w:leader="none" w:pos="1740" w:val="left"/>
        </w:tabs>
        <w:rPr>
          <w:sz w:val="20"/>
          <w:szCs w:val="20"/>
          <w:color w:val="auto"/>
        </w:rPr>
      </w:pPr>
      <w:r>
        <w:rPr>
          <w:rFonts w:ascii="Arial" w:cs="Arial" w:eastAsia="Arial" w:hAnsi="Arial"/>
          <w:sz w:val="18"/>
          <w:szCs w:val="18"/>
          <w:b w:val="1"/>
          <w:bCs w:val="1"/>
          <w:color w:val="auto"/>
        </w:rPr>
        <w:t>Interest Income.</w:t>
      </w:r>
      <w:r>
        <w:rPr>
          <w:sz w:val="20"/>
          <w:szCs w:val="20"/>
          <w:color w:val="auto"/>
        </w:rPr>
        <w:tab/>
      </w:r>
      <w:r>
        <w:rPr>
          <w:rFonts w:ascii="Arial" w:cs="Arial" w:eastAsia="Arial" w:hAnsi="Arial"/>
          <w:sz w:val="15"/>
          <w:szCs w:val="15"/>
          <w:color w:val="auto"/>
        </w:rPr>
        <w:t>Interest income reflects interest earned on our cash, cash equivalents and investment balances.</w:t>
      </w:r>
    </w:p>
    <w:p>
      <w:pPr>
        <w:spacing w:after="0" w:line="225" w:lineRule="exact"/>
        <w:rPr>
          <w:sz w:val="20"/>
          <w:szCs w:val="20"/>
          <w:color w:val="auto"/>
        </w:rPr>
      </w:pPr>
    </w:p>
    <w:p>
      <w:pPr>
        <w:ind w:left="360"/>
        <w:spacing w:after="0"/>
        <w:tabs>
          <w:tab w:leader="none" w:pos="1800" w:val="left"/>
        </w:tabs>
        <w:rPr>
          <w:sz w:val="20"/>
          <w:szCs w:val="20"/>
          <w:color w:val="auto"/>
        </w:rPr>
      </w:pPr>
      <w:r>
        <w:rPr>
          <w:rFonts w:ascii="Arial" w:cs="Arial" w:eastAsia="Arial" w:hAnsi="Arial"/>
          <w:sz w:val="18"/>
          <w:szCs w:val="18"/>
          <w:b w:val="1"/>
          <w:bCs w:val="1"/>
          <w:color w:val="auto"/>
        </w:rPr>
        <w:t>Interest Expense.</w:t>
      </w:r>
      <w:r>
        <w:rPr>
          <w:sz w:val="20"/>
          <w:szCs w:val="20"/>
          <w:color w:val="auto"/>
        </w:rPr>
        <w:tab/>
      </w:r>
      <w:r>
        <w:rPr>
          <w:rFonts w:ascii="Arial" w:cs="Arial" w:eastAsia="Arial" w:hAnsi="Arial"/>
          <w:sz w:val="15"/>
          <w:szCs w:val="15"/>
          <w:color w:val="auto"/>
        </w:rPr>
        <w:t>Interest expense consists of interest on our short and long-term obligations.</w:t>
      </w:r>
    </w:p>
    <w:p>
      <w:pPr>
        <w:spacing w:after="0" w:line="225" w:lineRule="exact"/>
        <w:rPr>
          <w:sz w:val="20"/>
          <w:szCs w:val="20"/>
          <w:color w:val="auto"/>
        </w:rPr>
      </w:pPr>
    </w:p>
    <w:p>
      <w:pPr>
        <w:ind w:right="460" w:firstLine="351"/>
        <w:spacing w:after="0" w:line="275" w:lineRule="auto"/>
        <w:rPr>
          <w:sz w:val="20"/>
          <w:szCs w:val="20"/>
          <w:color w:val="auto"/>
        </w:rPr>
      </w:pPr>
      <w:r>
        <w:rPr>
          <w:rFonts w:ascii="Arial" w:cs="Arial" w:eastAsia="Arial" w:hAnsi="Arial"/>
          <w:sz w:val="18"/>
          <w:szCs w:val="18"/>
          <w:b w:val="1"/>
          <w:bCs w:val="1"/>
          <w:color w:val="auto"/>
        </w:rPr>
        <w:t xml:space="preserve">Other Income (Expense), Net. </w:t>
      </w:r>
      <w:r>
        <w:rPr>
          <w:rFonts w:ascii="Arial" w:cs="Arial" w:eastAsia="Arial" w:hAnsi="Arial"/>
          <w:sz w:val="18"/>
          <w:szCs w:val="18"/>
          <w:color w:val="auto"/>
        </w:rPr>
        <w:t>Other income (expense), net consists primarily of foreign currency remeasurement adjustments as well as other non-operating income and expenses.</w:t>
      </w:r>
    </w:p>
    <w:p>
      <w:pPr>
        <w:spacing w:after="0" w:line="174" w:lineRule="exact"/>
        <w:rPr>
          <w:sz w:val="20"/>
          <w:szCs w:val="20"/>
          <w:color w:val="auto"/>
        </w:rPr>
      </w:pPr>
    </w:p>
    <w:p>
      <w:pPr>
        <w:ind w:right="220" w:firstLine="351"/>
        <w:spacing w:after="0" w:line="275" w:lineRule="auto"/>
        <w:rPr>
          <w:sz w:val="20"/>
          <w:szCs w:val="20"/>
          <w:color w:val="auto"/>
        </w:rPr>
      </w:pPr>
      <w:r>
        <w:rPr>
          <w:rFonts w:ascii="Arial" w:cs="Arial" w:eastAsia="Arial" w:hAnsi="Arial"/>
          <w:sz w:val="18"/>
          <w:szCs w:val="18"/>
          <w:b w:val="1"/>
          <w:bCs w:val="1"/>
          <w:color w:val="auto"/>
        </w:rPr>
        <w:t xml:space="preserve">Provision (Benefit) for Income Taxes. </w:t>
      </w:r>
      <w:r>
        <w:rPr>
          <w:rFonts w:ascii="Arial" w:cs="Arial" w:eastAsia="Arial" w:hAnsi="Arial"/>
          <w:sz w:val="18"/>
          <w:szCs w:val="18"/>
          <w:color w:val="auto"/>
        </w:rPr>
        <w:t>Provision (benefit) for income taxes includes both domestic and foreign income taxes at the applicable statutory</w:t>
      </w:r>
      <w:r>
        <w:rPr>
          <w:rFonts w:ascii="Arial" w:cs="Arial" w:eastAsia="Arial" w:hAnsi="Arial"/>
          <w:sz w:val="18"/>
          <w:szCs w:val="18"/>
          <w:b w:val="1"/>
          <w:bCs w:val="1"/>
          <w:color w:val="auto"/>
        </w:rPr>
        <w:t xml:space="preserve"> </w:t>
      </w:r>
      <w:r>
        <w:rPr>
          <w:rFonts w:ascii="Arial" w:cs="Arial" w:eastAsia="Arial" w:hAnsi="Arial"/>
          <w:sz w:val="18"/>
          <w:szCs w:val="18"/>
          <w:color w:val="auto"/>
        </w:rPr>
        <w:t>rates adjusted for non-deductible expenses, research and development tax credits and other permanent differences.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Consolidated Statements of Income data as a percentage of revenues for the periods indicated:</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40" w:type="dxa"/>
            <w:vAlign w:val="bottom"/>
          </w:tcPr>
          <w:p>
            <w:pPr>
              <w:spacing w:after="0"/>
              <w:rPr>
                <w:sz w:val="11"/>
                <w:szCs w:val="11"/>
                <w:color w:val="auto"/>
              </w:rPr>
            </w:pPr>
          </w:p>
        </w:tc>
        <w:tc>
          <w:tcPr>
            <w:tcW w:w="94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8"/>
              </w:rPr>
              <w:t>January 1,</w:t>
            </w:r>
          </w:p>
        </w:tc>
        <w:tc>
          <w:tcPr>
            <w:tcW w:w="92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6"/>
              </w:rPr>
              <w:t>January 2,</w:t>
            </w:r>
          </w:p>
        </w:tc>
        <w:tc>
          <w:tcPr>
            <w:tcW w:w="7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8"/>
              </w:rPr>
              <w:t>January 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40" w:type="dxa"/>
            <w:vAlign w:val="bottom"/>
          </w:tcPr>
          <w:p>
            <w:pPr>
              <w:spacing w:after="0"/>
              <w:rPr>
                <w:sz w:val="14"/>
                <w:szCs w:val="14"/>
                <w:color w:val="auto"/>
              </w:rPr>
            </w:pPr>
          </w:p>
        </w:tc>
        <w:tc>
          <w:tcPr>
            <w:tcW w:w="7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Cost of revenues</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34.3</w:t>
            </w:r>
          </w:p>
        </w:tc>
        <w:tc>
          <w:tcPr>
            <w:tcW w:w="760" w:type="dxa"/>
            <w:vAlign w:val="bottom"/>
          </w:tcPr>
          <w:p>
            <w:pPr>
              <w:jc w:val="right"/>
              <w:spacing w:after="0"/>
              <w:rPr>
                <w:sz w:val="20"/>
                <w:szCs w:val="20"/>
                <w:color w:val="auto"/>
              </w:rPr>
            </w:pPr>
            <w:r>
              <w:rPr>
                <w:rFonts w:ascii="Arial" w:cs="Arial" w:eastAsia="Arial" w:hAnsi="Arial"/>
                <w:sz w:val="18"/>
                <w:szCs w:val="18"/>
                <w:color w:val="auto"/>
              </w:rPr>
              <w:t>36.6</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431"/>
        </w:trPr>
        <w:tc>
          <w:tcPr>
            <w:tcW w:w="4040" w:type="dxa"/>
            <w:vAlign w:val="bottom"/>
          </w:tcPr>
          <w:p>
            <w:pPr>
              <w:spacing w:after="0"/>
              <w:rPr>
                <w:sz w:val="20"/>
                <w:szCs w:val="20"/>
                <w:color w:val="auto"/>
              </w:rPr>
            </w:pPr>
            <w:r>
              <w:rPr>
                <w:rFonts w:ascii="Arial" w:cs="Arial" w:eastAsia="Arial" w:hAnsi="Arial"/>
                <w:sz w:val="18"/>
                <w:szCs w:val="18"/>
                <w:color w:val="auto"/>
              </w:rPr>
              <w:t>Operating expenses:</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404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23.0</w:t>
            </w:r>
          </w:p>
        </w:tc>
        <w:tc>
          <w:tcPr>
            <w:tcW w:w="760" w:type="dxa"/>
            <w:vAlign w:val="bottom"/>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In-process research and development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04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9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40" w:type="dxa"/>
            <w:vAlign w:val="bottom"/>
            <w:vMerge w:val="continue"/>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6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431"/>
        </w:trPr>
        <w:tc>
          <w:tcPr>
            <w:tcW w:w="4040" w:type="dxa"/>
            <w:vAlign w:val="bottom"/>
          </w:tcPr>
          <w:p>
            <w:pPr>
              <w:spacing w:after="0"/>
              <w:rPr>
                <w:sz w:val="20"/>
                <w:szCs w:val="20"/>
                <w:color w:val="auto"/>
              </w:rPr>
            </w:pPr>
            <w:r>
              <w:rPr>
                <w:rFonts w:ascii="Arial" w:cs="Arial" w:eastAsia="Arial" w:hAnsi="Arial"/>
                <w:sz w:val="18"/>
                <w:szCs w:val="18"/>
                <w:color w:val="auto"/>
              </w:rPr>
              <w:t>Other income (expense):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04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76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(expense), net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040" w:type="dxa"/>
            <w:vAlign w:val="bottom"/>
            <w:vMerge w:val="restart"/>
          </w:tcPr>
          <w:p>
            <w:pPr>
              <w:spacing w:after="0"/>
              <w:rPr>
                <w:sz w:val="20"/>
                <w:szCs w:val="20"/>
                <w:color w:val="auto"/>
              </w:rPr>
            </w:pPr>
            <w:r>
              <w:rPr>
                <w:rFonts w:ascii="Arial" w:cs="Arial" w:eastAsia="Arial" w:hAnsi="Arial"/>
                <w:sz w:val="18"/>
                <w:szCs w:val="18"/>
                <w:color w:val="auto"/>
              </w:rPr>
              <w:t>Income before income taxes</w:t>
            </w:r>
          </w:p>
        </w:tc>
        <w:tc>
          <w:tcPr>
            <w:tcW w:w="9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040" w:type="dxa"/>
            <w:vAlign w:val="bottom"/>
            <w:vMerge w:val="continue"/>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04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40" w:type="dxa"/>
            <w:vAlign w:val="bottom"/>
            <w:vMerge w:val="continue"/>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Fiscal 2010 to Fiscal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442"/>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gridSpan w:val="2"/>
            <w:vMerge w:val="restart"/>
          </w:tcPr>
          <w:p>
            <w:pPr>
              <w:jc w:val="right"/>
              <w:ind w:right="1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7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January 1,</w:t>
            </w:r>
          </w:p>
        </w:tc>
        <w:tc>
          <w:tcPr>
            <w:tcW w:w="160" w:type="dxa"/>
            <w:vAlign w:val="bottom"/>
          </w:tcPr>
          <w:p>
            <w:pPr>
              <w:spacing w:after="0"/>
              <w:rPr>
                <w:sz w:val="11"/>
                <w:szCs w:val="11"/>
                <w:color w:val="auto"/>
              </w:rPr>
            </w:pPr>
          </w:p>
        </w:tc>
        <w:tc>
          <w:tcPr>
            <w:tcW w:w="7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January 2,</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99"/>
              </w:rPr>
              <w:t>(in millions)</w:t>
            </w:r>
          </w:p>
        </w:tc>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86"/>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82"/>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w w:val="93"/>
              </w:rPr>
              <w:t>Revenues</w:t>
            </w:r>
          </w:p>
        </w:tc>
        <w:tc>
          <w:tcPr>
            <w:tcW w:w="49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52.3</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growth in revenues in fiscal 2010 was due primarily to improvements in the health of our products' end markets and increases in market share. Unit volumes of our products increased compared to fiscal 2009 by 2.8%. Average selling prices increased during the same period by 9.3%. In general, as our products become more mature, we expect to experience decreases in average selling prices. We anticipate that newly announced, higher priced, next generation products and product derivatives will offset some of these decreases.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760" w:type="dxa"/>
            <w:vAlign w:val="bottom"/>
            <w:gridSpan w:val="2"/>
            <w:vMerge w:val="restart"/>
          </w:tcPr>
          <w:p>
            <w:pPr>
              <w:jc w:val="right"/>
              <w:ind w:right="1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920" w:type="dxa"/>
            <w:vAlign w:val="bottom"/>
            <w:tcBorders>
              <w:top w:val="single" w:sz="8" w:color="auto"/>
            </w:tcBorders>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98"/>
              </w:rPr>
              <w:t>January 1,</w:t>
            </w: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19"/>
              <w:spacing w:after="0" w:line="129" w:lineRule="exact"/>
              <w:rPr>
                <w:sz w:val="20"/>
                <w:szCs w:val="20"/>
                <w:color w:val="auto"/>
              </w:rPr>
            </w:pPr>
            <w:r>
              <w:rPr>
                <w:rFonts w:ascii="Arial" w:cs="Arial" w:eastAsia="Arial" w:hAnsi="Arial"/>
                <w:sz w:val="14"/>
                <w:szCs w:val="14"/>
                <w:b w:val="1"/>
                <w:bCs w:val="1"/>
                <w:color w:val="auto"/>
                <w:w w:val="95"/>
              </w:rPr>
              <w:t>January 2,</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82"/>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2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44.4</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Percent of revenue</w:t>
            </w:r>
          </w:p>
        </w:tc>
        <w:tc>
          <w:tcPr>
            <w:tcW w:w="2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65.7%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63.4%</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80" w:firstLine="348"/>
        <w:spacing w:after="0" w:line="332" w:lineRule="auto"/>
        <w:rPr>
          <w:sz w:val="20"/>
          <w:szCs w:val="20"/>
          <w:color w:val="auto"/>
        </w:rPr>
      </w:pPr>
      <w:r>
        <w:rPr>
          <w:rFonts w:ascii="Arial" w:cs="Arial" w:eastAsia="Arial" w:hAnsi="Arial"/>
          <w:sz w:val="16"/>
          <w:szCs w:val="16"/>
          <w:color w:val="auto"/>
        </w:rPr>
        <w:t>The increase in the dollar amount of gross margin in fiscal 2010 was primarily due to our increased sales. The increase in gross margin as a percent of revenue in fiscal 2010 was primarily due to changes in product mix, improvements in our inventory management and manufacturing cost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reductions. We may experience declines in the average selling prices of certain of our products. This creates downward pressure on gross margin as a percentage of revenues and may be offset to the extent we are able to: 1) introduce higher margin new products and gain market share with our ICs; 2) achieve lower production costs from our wafer suppliers and third-party assembly and test subcontractors; 3) achieve lower production costs per unit as a result of improved yields throughout the manufacturing process; or 4) reduce logistics costs.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760" w:type="dxa"/>
            <w:vAlign w:val="bottom"/>
            <w:gridSpan w:val="2"/>
            <w:vMerge w:val="restart"/>
          </w:tcPr>
          <w:p>
            <w:pPr>
              <w:jc w:val="right"/>
              <w:ind w:right="1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920" w:type="dxa"/>
            <w:vAlign w:val="bottom"/>
            <w:tcBorders>
              <w:top w:val="single" w:sz="8" w:color="auto"/>
            </w:tcBorders>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98"/>
              </w:rPr>
              <w:t>January 1,</w:t>
            </w: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19"/>
              <w:spacing w:after="0" w:line="129" w:lineRule="exact"/>
              <w:rPr>
                <w:sz w:val="20"/>
                <w:szCs w:val="20"/>
                <w:color w:val="auto"/>
              </w:rPr>
            </w:pPr>
            <w:r>
              <w:rPr>
                <w:rFonts w:ascii="Arial" w:cs="Arial" w:eastAsia="Arial" w:hAnsi="Arial"/>
                <w:sz w:val="14"/>
                <w:szCs w:val="14"/>
                <w:b w:val="1"/>
                <w:bCs w:val="1"/>
                <w:color w:val="auto"/>
                <w:w w:val="95"/>
              </w:rPr>
              <w:t>January 2,</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82"/>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1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19.4</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Percent of revenue</w:t>
            </w: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23.7%</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80" w:firstLine="348"/>
        <w:spacing w:after="0" w:line="332" w:lineRule="auto"/>
        <w:rPr>
          <w:sz w:val="20"/>
          <w:szCs w:val="20"/>
          <w:color w:val="auto"/>
        </w:rPr>
      </w:pPr>
      <w:r>
        <w:rPr>
          <w:rFonts w:ascii="Arial" w:cs="Arial" w:eastAsia="Arial" w:hAnsi="Arial"/>
          <w:sz w:val="16"/>
          <w:szCs w:val="16"/>
          <w:color w:val="auto"/>
        </w:rPr>
        <w:t>The increase in research and development expense in fiscal 2010 was principally due to an increase of $15.0 million for personnel-related expenses. We expect that research and development expense will continue to increase in absolute dollars in the first quarter of 2011.</w:t>
      </w:r>
    </w:p>
    <w:p>
      <w:pPr>
        <w:spacing w:after="0" w:line="139"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Recent development projects include a bridge chip family that simplifies the addition of USB and touch sense connectivity in embedded designs, the expansion of our automotive portfolio with a family of highly integrated AM/FM tuners for car stereos, frequency flexible in-circuit programmable CMOS clock generators, isolated gate drivers designed for high-power Class D audio systems, power management ICs that improve efficiency in PoE equipment, a Class D amplifier ideal for many portable radios and docking stations, a wireless IC solution designed to be a remote control on a chip, low power capacitive touch-sense microcontrollers, digital isolators and isolated gate drivers designed to replace traditional optocouplers, a digital TV demodulator that combines satellite, terrestrial and cable DVB functions in one highly integrated device, a frequency-flexible timing IC solution for networking and telecommunications applications, a family of ultra-low-power wireless microcontrollers ideal for battery-powered systems and a highly integrated AM/FM receiver for analog tuned radios.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In-Process Research and Development</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connection with the purchase of Silicon Clocks, we acquired certain in-process research and development (IPR&amp;D) assets. These costs were capitalized until the related projects are completed, at which time they begin to be amortized. IPR&amp;D is written-off if the related projects are abandoned. The fair value of each project was determined using the income approach. The discount rate applicable to the cash flows was 19.0%. This rate reflects the weighted-average cost of capital and the risks inherent in the development process. The IPR&amp;D recorded in connection with the acquisition consisted of the following (in thousands):</w:t>
      </w:r>
    </w:p>
    <w:p>
      <w:pPr>
        <w:spacing w:after="0" w:line="15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61"/>
        </w:trPr>
        <w:tc>
          <w:tcPr>
            <w:tcW w:w="6060" w:type="dxa"/>
            <w:vAlign w:val="bottom"/>
            <w:gridSpan w:val="3"/>
          </w:tcPr>
          <w:p>
            <w:pPr>
              <w:spacing w:after="0"/>
              <w:rPr>
                <w:sz w:val="20"/>
                <w:szCs w:val="20"/>
                <w:color w:val="auto"/>
              </w:rPr>
            </w:pPr>
            <w:r>
              <w:rPr>
                <w:rFonts w:ascii="Arial" w:cs="Arial" w:eastAsia="Arial" w:hAnsi="Arial"/>
                <w:sz w:val="14"/>
                <w:szCs w:val="14"/>
                <w:b w:val="1"/>
                <w:bCs w:val="1"/>
                <w:color w:val="auto"/>
              </w:rPr>
              <w:t>Project</w:t>
            </w:r>
          </w:p>
        </w:tc>
        <w:tc>
          <w:tcPr>
            <w:tcW w:w="120" w:type="dxa"/>
            <w:vAlign w:val="bottom"/>
          </w:tcPr>
          <w:p>
            <w:pPr>
              <w:spacing w:after="0"/>
              <w:rPr>
                <w:sz w:val="14"/>
                <w:szCs w:val="14"/>
                <w:color w:val="auto"/>
              </w:rPr>
            </w:pPr>
          </w:p>
        </w:tc>
        <w:tc>
          <w:tcPr>
            <w:tcW w:w="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Resonator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Clocks</w:t>
            </w: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4,270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are developing the IPR&amp;D projects using MEMS technology. The remaining research and development efforts include additional design, integration and testing. As of the acquisition date, we projected the costs to complete the projects to be $8.1 million. Such costs have been consistent with our assumptions at the time of the acquisition. The significant risks associated with the successful completion of these projects include our potential inability to finish the product designs, produce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working models and gain customer acceptance. Failure to complete these projects in a timely manner could result in lost revenues.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gridSpan w:val="2"/>
            <w:vMerge w:val="restart"/>
          </w:tcPr>
          <w:p>
            <w:pPr>
              <w:jc w:val="right"/>
              <w:ind w:right="1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920" w:type="dxa"/>
            <w:vAlign w:val="bottom"/>
            <w:tcBorders>
              <w:top w:val="single" w:sz="8" w:color="auto"/>
            </w:tcBorders>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98"/>
              </w:rPr>
              <w:t>January 1,</w:t>
            </w: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19"/>
              <w:spacing w:after="0" w:line="129" w:lineRule="exact"/>
              <w:rPr>
                <w:sz w:val="20"/>
                <w:szCs w:val="20"/>
                <w:color w:val="auto"/>
              </w:rPr>
            </w:pPr>
            <w:r>
              <w:rPr>
                <w:rFonts w:ascii="Arial" w:cs="Arial" w:eastAsia="Arial" w:hAnsi="Arial"/>
                <w:sz w:val="14"/>
                <w:szCs w:val="14"/>
                <w:b w:val="1"/>
                <w:bCs w:val="1"/>
                <w:color w:val="auto"/>
                <w:w w:val="95"/>
              </w:rPr>
              <w:t>January 2,</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82"/>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Percent of revenue</w:t>
            </w: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increase in selling, general and administrative expense in fiscal 2010 was principally due to an increase of $2.1 million for legal fees, primarily related to acquisition-related costs and litigation. The decrease in selling, general and administrative expense as a percent of revenues in fiscal 2010 is due to our increased sales. We expect that selling, general and administrative expense will increase in absolute dollars in the first quarter of 2011.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28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206"/>
              <w:spacing w:after="0"/>
              <w:rPr>
                <w:sz w:val="20"/>
                <w:szCs w:val="20"/>
                <w:color w:val="auto"/>
              </w:rPr>
            </w:pPr>
            <w:r>
              <w:rPr>
                <w:rFonts w:ascii="Arial" w:cs="Arial" w:eastAsia="Arial" w:hAnsi="Arial"/>
                <w:sz w:val="14"/>
                <w:szCs w:val="14"/>
                <w:b w:val="1"/>
                <w:bCs w:val="1"/>
                <w:color w:val="auto"/>
              </w:rPr>
              <w:t>Year Ended</w:t>
            </w:r>
          </w:p>
        </w:tc>
        <w:tc>
          <w:tcPr>
            <w:tcW w:w="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92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89"/>
              </w:rPr>
              <w:t>January 1,</w:t>
            </w:r>
          </w:p>
        </w:tc>
        <w:tc>
          <w:tcPr>
            <w:tcW w:w="7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January 2,</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580" w:type="dxa"/>
            <w:vAlign w:val="bottom"/>
          </w:tcPr>
          <w:p>
            <w:pPr>
              <w:jc w:val="right"/>
              <w:ind w:right="166"/>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(0.4)</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decrease in interest income in fiscal 2010 was largely due to lower interest rates on the underlying instruments, partially offset by a higher average investment balance.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expense in fiscal 2010 was $0.1 million compared to $0.2 million in fiscal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Other income (expense), net in fiscal 2010 was $(1.3) million compared to $(0.1) million in fiscal 2009. The change was primarily due to foreign currency remeasurement adjustments.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(Benefit) for Income Taxes</w:t>
      </w:r>
    </w:p>
    <w:p>
      <w:pPr>
        <w:spacing w:after="0" w:line="28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 Ended</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940" w:type="dxa"/>
            <w:vAlign w:val="bottom"/>
            <w:tcBorders>
              <w:top w:val="single" w:sz="8" w:color="auto"/>
            </w:tcBorders>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9"/>
              </w:rPr>
              <w:t>January 1,</w:t>
            </w:r>
          </w:p>
        </w:tc>
        <w:tc>
          <w:tcPr>
            <w:tcW w:w="7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January 2,</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600" w:type="dxa"/>
            <w:vAlign w:val="bottom"/>
          </w:tcPr>
          <w:p>
            <w:pPr>
              <w:jc w:val="right"/>
              <w:ind w:right="182"/>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59"/>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14.4</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18.5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180" w:type="dxa"/>
            <w:vAlign w:val="bottom"/>
          </w:tcPr>
          <w:p>
            <w:pPr>
              <w:spacing w:after="0"/>
              <w:rPr>
                <w:sz w:val="19"/>
                <w:szCs w:val="19"/>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w w:val="90"/>
              </w:rPr>
              <w:t>16.4%</w:t>
            </w:r>
          </w:p>
        </w:tc>
        <w:tc>
          <w:tcPr>
            <w:tcW w:w="160" w:type="dxa"/>
            <w:vAlign w:val="bottom"/>
          </w:tcPr>
          <w:p>
            <w:pPr>
              <w:spacing w:after="0"/>
              <w:rPr>
                <w:sz w:val="19"/>
                <w:szCs w:val="19"/>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(6.0)%</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effective tax rate for fiscal 2010 increased from the prior period, primarily due to the resolution of uncertain tax positions as a result of entering into an Advance Pricing Agreement with the U.S. Internal Revenue Service during the fourth quarter of fiscal 2009. In addition, the effective tax rate for fiscal 2010 increased from the prior period due to the intercompany license of certain technology obtained in the acquisition of Silicon Clocks during the second quarter of fiscal 2010. The increase in the effective tax rate was partially offset by an increase in the federal research and development credit in fiscal 2010.</w:t>
      </w:r>
    </w:p>
    <w:p>
      <w:pPr>
        <w:spacing w:after="0" w:line="167"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The effective tax rates for each of the periods presented differ from the federal statutory rate of 35% due to the amount of income earned in foreign jurisdictions where the tax rate may be lower than</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the federal statutory rate, research and development tax credits and other permanent items including changes to the liability for unrecognized tax benefits.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Fiscal 2009 to Fiscal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442"/>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gridSpan w:val="2"/>
            <w:vMerge w:val="restart"/>
          </w:tcPr>
          <w:p>
            <w:pPr>
              <w:jc w:val="right"/>
              <w:ind w:right="1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7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January 2,</w:t>
            </w:r>
          </w:p>
        </w:tc>
        <w:tc>
          <w:tcPr>
            <w:tcW w:w="160" w:type="dxa"/>
            <w:vAlign w:val="bottom"/>
          </w:tcPr>
          <w:p>
            <w:pPr>
              <w:spacing w:after="0"/>
              <w:rPr>
                <w:sz w:val="11"/>
                <w:szCs w:val="11"/>
                <w:color w:val="auto"/>
              </w:rPr>
            </w:pPr>
          </w:p>
        </w:tc>
        <w:tc>
          <w:tcPr>
            <w:tcW w:w="7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January 3,</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99"/>
              </w:rPr>
              <w:t>(in millions)</w:t>
            </w:r>
          </w:p>
        </w:tc>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86"/>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82"/>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w w:val="93"/>
              </w:rPr>
              <w:t>Revenues</w:t>
            </w:r>
          </w:p>
        </w:tc>
        <w:tc>
          <w:tcPr>
            <w:tcW w:w="49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25.4</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growth in revenues in fiscal 2009 was driven primarily by market share gains. Increased unit volumes outpaced declines in average selling prices. Unit volumes of our products increased compared to fiscal 2008 by 19.6%. Average selling prices decreased during the same period by 10.8%.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760" w:type="dxa"/>
            <w:vAlign w:val="bottom"/>
            <w:gridSpan w:val="2"/>
            <w:vMerge w:val="restart"/>
          </w:tcPr>
          <w:p>
            <w:pPr>
              <w:jc w:val="right"/>
              <w:ind w:right="1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920" w:type="dxa"/>
            <w:vAlign w:val="bottom"/>
            <w:tcBorders>
              <w:top w:val="single" w:sz="8" w:color="auto"/>
            </w:tcBorders>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98"/>
              </w:rPr>
              <w:t>January 2,</w:t>
            </w: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19"/>
              <w:spacing w:after="0" w:line="129" w:lineRule="exact"/>
              <w:rPr>
                <w:sz w:val="20"/>
                <w:szCs w:val="20"/>
                <w:color w:val="auto"/>
              </w:rPr>
            </w:pPr>
            <w:r>
              <w:rPr>
                <w:rFonts w:ascii="Arial" w:cs="Arial" w:eastAsia="Arial" w:hAnsi="Arial"/>
                <w:sz w:val="14"/>
                <w:szCs w:val="14"/>
                <w:b w:val="1"/>
                <w:bCs w:val="1"/>
                <w:color w:val="auto"/>
                <w:w w:val="95"/>
              </w:rPr>
              <w:t>January 3,</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82"/>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2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24.0</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Percent of revenue</w:t>
            </w:r>
          </w:p>
        </w:tc>
        <w:tc>
          <w:tcPr>
            <w:tcW w:w="2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63.4%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61.5%</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The increase in the dollar amount of gross margin in fiscal 2009 was primarily due to our increased sales. The increase in gross margin as a percent of revenue in fiscal 2009 was primarily due to a charge of $2.2 million to record inventory acquired from Integration Associates at fair value during fiscal 2008, improvements in our inventory management and manufacturing cost reductions.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gridSpan w:val="2"/>
            <w:vMerge w:val="restart"/>
          </w:tcPr>
          <w:p>
            <w:pPr>
              <w:jc w:val="right"/>
              <w:ind w:right="1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920" w:type="dxa"/>
            <w:vAlign w:val="bottom"/>
            <w:tcBorders>
              <w:top w:val="single" w:sz="8" w:color="auto"/>
            </w:tcBorders>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98"/>
              </w:rPr>
              <w:t>January 2,</w:t>
            </w: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19"/>
              <w:spacing w:after="0" w:line="129" w:lineRule="exact"/>
              <w:rPr>
                <w:sz w:val="20"/>
                <w:szCs w:val="20"/>
                <w:color w:val="auto"/>
              </w:rPr>
            </w:pPr>
            <w:r>
              <w:rPr>
                <w:rFonts w:ascii="Arial" w:cs="Arial" w:eastAsia="Arial" w:hAnsi="Arial"/>
                <w:sz w:val="14"/>
                <w:szCs w:val="14"/>
                <w:b w:val="1"/>
                <w:bCs w:val="1"/>
                <w:color w:val="auto"/>
                <w:w w:val="95"/>
              </w:rPr>
              <w:t>January 3,</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82"/>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1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Percent of revenue</w:t>
            </w: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increase in research and development expense in fiscal 2009 was principally due to an increase of $3.7 million for personnel-related expenses, including personnel costs associated with the acquisition of Integration Associates. The decrease in research and development expense as a percent of revenues is due to our increased sales.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gridSpan w:val="2"/>
            <w:vMerge w:val="restart"/>
          </w:tcPr>
          <w:p>
            <w:pPr>
              <w:jc w:val="right"/>
              <w:ind w:right="1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920" w:type="dxa"/>
            <w:vAlign w:val="bottom"/>
            <w:tcBorders>
              <w:top w:val="single" w:sz="8" w:color="auto"/>
            </w:tcBorders>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98"/>
              </w:rPr>
              <w:t>January 2,</w:t>
            </w: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19"/>
              <w:spacing w:after="0" w:line="129" w:lineRule="exact"/>
              <w:rPr>
                <w:sz w:val="20"/>
                <w:szCs w:val="20"/>
                <w:color w:val="auto"/>
              </w:rPr>
            </w:pPr>
            <w:r>
              <w:rPr>
                <w:rFonts w:ascii="Arial" w:cs="Arial" w:eastAsia="Arial" w:hAnsi="Arial"/>
                <w:sz w:val="14"/>
                <w:szCs w:val="14"/>
                <w:b w:val="1"/>
                <w:bCs w:val="1"/>
                <w:color w:val="auto"/>
                <w:w w:val="95"/>
              </w:rPr>
              <w:t>January 3,</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82"/>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Percent of revenue</w:t>
            </w: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increase in selling, general and administrative expense in fiscal 2009 was principally due to an increase of $8.7 million for personnel-related expenses, including personnel costs associated with the acquisition of Integration Associates.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In-Process Research and Development</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In-process research and development (IPR&amp;D) recorded in connection with the acquisition of Integration Associates was $10.3 million in fiscal 2008. The IPR&amp;D projects included optoelectronic, power, and radio transmitter and transceiver technologies. The optoelectronic projects are used for infrared data communications and proximity sensing. The power projects enable AC-DC conversion in power supply systems. The radio transmitters and transceivers projects enable the delivery of data over proprietary, short range wireless links. The fair value of each project was determined using the income approach. The discount rate applicable to the cash flows was 20%. This rate reflects the weighted-average cost of capital and the risks inherent in the development process.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was no acquisition of IPR&amp;D in fiscal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28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442"/>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92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89"/>
              </w:rPr>
              <w:t>January 2,</w:t>
            </w:r>
          </w:p>
        </w:tc>
        <w:tc>
          <w:tcPr>
            <w:tcW w:w="7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January 3,</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600" w:type="dxa"/>
            <w:vAlign w:val="bottom"/>
          </w:tcPr>
          <w:p>
            <w:pPr>
              <w:jc w:val="right"/>
              <w:ind w:right="166"/>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82"/>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(7.7)</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decrease in interest income for the recent period was due to lower interest rates on the underlying instruments and lower average cash and investment balances.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expense in fiscal 2009 was $0.2 million compared to $0.4 million in fiscal 2008.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income (expense), net in fiscal 2009 was $(0.1) million compared to $(0.6) million in fiscal 2008.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(Benefit) for Income Taxes</w:t>
      </w:r>
    </w:p>
    <w:p>
      <w:pPr>
        <w:spacing w:after="0" w:line="28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0"/>
              </w:rPr>
              <w:t>Year Ended</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100" w:type="dxa"/>
            <w:vAlign w:val="bottom"/>
            <w:gridSpan w:val="3"/>
          </w:tcPr>
          <w:p>
            <w:pPr>
              <w:jc w:val="center"/>
              <w:ind w:right="320"/>
              <w:spacing w:after="0" w:line="129" w:lineRule="exact"/>
              <w:rPr>
                <w:sz w:val="20"/>
                <w:szCs w:val="20"/>
                <w:color w:val="auto"/>
              </w:rPr>
            </w:pPr>
            <w:r>
              <w:rPr>
                <w:rFonts w:ascii="Arial" w:cs="Arial" w:eastAsia="Arial" w:hAnsi="Arial"/>
                <w:sz w:val="14"/>
                <w:szCs w:val="14"/>
                <w:b w:val="1"/>
                <w:bCs w:val="1"/>
                <w:color w:val="auto"/>
                <w:w w:val="89"/>
              </w:rPr>
              <w:t>January 2,</w:t>
            </w:r>
          </w:p>
        </w:tc>
        <w:tc>
          <w:tcPr>
            <w:tcW w:w="7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January 3,</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600" w:type="dxa"/>
            <w:vAlign w:val="bottom"/>
          </w:tcPr>
          <w:p>
            <w:pPr>
              <w:jc w:val="right"/>
              <w:ind w:right="182"/>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179"/>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20.2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  (24.3)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180" w:type="dxa"/>
            <w:vAlign w:val="bottom"/>
          </w:tcPr>
          <w:p>
            <w:pPr>
              <w:spacing w:after="0"/>
              <w:rPr>
                <w:sz w:val="19"/>
                <w:szCs w:val="19"/>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9"/>
                <w:szCs w:val="19"/>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w w:val="86"/>
              </w:rPr>
              <w:t>38.0%</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effective tax rate for fiscal 2009 decreased from the prior period, primarily due to resolution of uncertain tax positions as a result of entering into an Advance Pricing Agreement with the U.S. Internal Revenue Service during the fourth quarter of fiscal 2009. In addition, the effective tax rate for fiscal 2009 decreased from the prior period due to the intercompany license of certain technology and the non-deductible write-off of in-process research and development costs during fiscal 2008, both of which were related to the acquisition of Integration Associates.</w:t>
      </w:r>
    </w:p>
    <w:p>
      <w:pPr>
        <w:spacing w:after="0" w:line="167"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effective tax rates for each of the periods presented differ from the federal statutory rate of 35% due to the amount of income earned in foreign jurisdictions where the tax rate may be lower than the federal statutory rate, the limited deductibility of stock compensation expense and other permanent items including changes to the liability for unrecognized tax benefits.</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31" w:lineRule="exact"/>
        <w:rPr>
          <w:sz w:val="20"/>
          <w:szCs w:val="20"/>
          <w:color w:val="auto"/>
        </w:rPr>
      </w:pPr>
    </w:p>
    <w:p>
      <w:pPr>
        <w:ind w:right="460" w:firstLine="348"/>
        <w:spacing w:after="0" w:line="332" w:lineRule="auto"/>
        <w:rPr>
          <w:sz w:val="20"/>
          <w:szCs w:val="20"/>
          <w:color w:val="auto"/>
        </w:rPr>
      </w:pPr>
      <w:r>
        <w:rPr>
          <w:rFonts w:ascii="Arial" w:cs="Arial" w:eastAsia="Arial" w:hAnsi="Arial"/>
          <w:sz w:val="16"/>
          <w:szCs w:val="16"/>
          <w:color w:val="auto"/>
        </w:rPr>
        <w:t>We expect revenues in the first quarter of fiscal 2011 to be in the range of $116 to $122 million. Furthermore, we expect our diluted earnings per share, exclusive of expected charges related to the January 2011 acquisition of Spectra Linear, to be in the range of $0.14 to $0.20.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Our principal sources of liquidity as of January 1, 2011 consisted of $365.9 million in cash, cash equivalents and short-term investments. Our cash equivalents and short-term investments consist primarily of corporate bonds, U.S. Treasury bills, money market funds, variable-rate demand notes, municipal bonds, U.S. government agency bonds and discount notes, international government bonds, certificates of deposit and commercial paper.</w:t>
      </w:r>
    </w:p>
    <w:p>
      <w:pPr>
        <w:spacing w:after="0" w:line="16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Our long-term investments consist of auction-rate securities. Early in fiscal 2008, auctions for many of our auction-rate securities failed because sell orders exceeded buy orders. As of January 1, 2011, we held $19.7 million par value auction-rate securities, all of which have experienced failed auctions. The securities had previously been valued using quoted prices in active markets. When the auctions began to fail, quoted prices for the securities were no longer observable. As such, we changed our fair value measurement methodology for all auction-rate securities from quoted prices in active markets to a cash flow model. The assumptions used in preparing the discounted cash flow model include estimates for interest rates, amount of cash flows, expected holding periods of the securities and a discount to reflect our inability to liquidate the securities.</w:t>
      </w:r>
    </w:p>
    <w:p>
      <w:pPr>
        <w:spacing w:after="0" w:line="174"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underlying assets of our auction-rate securities consisted of student loans and municipal bonds, of which $17.7 million were guaranteed by the U.S. government and the remaining $2.0 million were privately insured. As of January 1, 2011, $17.7 million of the auction-rate securities had credit ratings of AAA and $2.0 million had credit ratings of A. These securities had contractual maturity dates ranging from 2029 to 2046 and were yielding 0.6% to 3.3% per year at January 1, 2011. We are receiving the underlying cash flows on all of our auction-rate securities. The principal amounts associated with failed auctions are not expected to be accessible until a successful auction occurs, the issuer redeems the security, a buyer is found outside of the auction process or the underlying securities mature. We are unable to predict if these funds will become available before their maturity dates. We do not expect to need access to the capital represented by any of our auction-rate securities prior to their maturities. We do not intend to sell, and we believe that it is not more likely than not that we will be required to sell, our auction-rate securities before their anticipated recovery in market value or final settlement at the underlying par value.</w:t>
      </w:r>
    </w:p>
    <w:p>
      <w:pPr>
        <w:spacing w:after="0" w:line="172"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Net cash provided by operating activities was $117.9 million during fiscal 2010, compared to net cash provided of $120.9 million during fiscal 2009. Operating cash flows during fiscal 2010 reflect our net income of $73.2 million, adjustments of $60.0 million for depreciation, amortization, stock compensation and deferred income taxes, and a net cash outflow of $15.3 million due to changes in our operating assets and liabilities.</w:t>
      </w:r>
    </w:p>
    <w:p>
      <w:pPr>
        <w:spacing w:after="0" w:line="161" w:lineRule="exact"/>
        <w:rPr>
          <w:sz w:val="20"/>
          <w:szCs w:val="20"/>
          <w:color w:val="auto"/>
        </w:rPr>
      </w:pPr>
    </w:p>
    <w:p>
      <w:pPr>
        <w:ind w:right="340" w:firstLine="341"/>
        <w:spacing w:after="0" w:line="259" w:lineRule="auto"/>
        <w:rPr>
          <w:sz w:val="20"/>
          <w:szCs w:val="20"/>
          <w:color w:val="auto"/>
        </w:rPr>
      </w:pPr>
      <w:r>
        <w:rPr>
          <w:rFonts w:ascii="Arial" w:cs="Arial" w:eastAsia="Arial" w:hAnsi="Arial"/>
          <w:sz w:val="18"/>
          <w:szCs w:val="18"/>
          <w:color w:val="auto"/>
        </w:rPr>
        <w:t>Accounts receivable decreased to $45.0 million at January 1, 2011 from $56.1 million at January 2, 2010. The decrease in accounts receivable resulted primarily from a decrease in shipments during the last quarter of fiscal 2010 compared to the last quarter of the prior year. Our average days sales outstanding (DSO) was 36 days at January 1, 2011 and 40 days at January 2, 2010.</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Inventory increased to $39.4 million at January 1, 2011 from $31.5 million at January 2, 2010. Our inventory level is primarily impacted by our need to make purchase commitments to support forecasted demand and variations between forecasted and actual demand. The increase in inventory over the prior year resulted primarily from actual demand falling short of our forecasted demand. Our average days of inventory (DOI) was 87 days at January 1, 2011 and 65 days at January 2, 2010.</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Net cash used in investing activities was $55.2 million during fiscal 2010, compared to net cash used of $104.3 million during fiscal 2009. The decrease was principally due to a decrease of $79.7 million in net outflows for purchases of investments, offset by an increase in net payments of $23.7 million for the acquisition of businesses.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anticipate capital expenditures of approximately $15 to $20 million for fiscal 2011. Additionally, as part of our growth strategy, we expect to evaluate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opportunities to invest in or acquire other businesses, intellectual property or technologies that would complement or expand our current offerings, expand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breadth of our markets or enhance our technical capabilities. On January 25, 2011, we acquired Spectra Linear, a privately held company, for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 million in cash, subject to certain working capital adjustments, plus potential additional consideration of up to $10 million tied to the revenue of the acquired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products exceeding $16 million during 2011.</w:t>
      </w:r>
    </w:p>
    <w:p>
      <w:pPr>
        <w:spacing w:after="0" w:line="219"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Net cash used in financing activities was $119.9 million during fiscal 2010, compared to net cash provided of $6.9 million during fiscal 2009. The decrease in cash flows was principally due to an increase of $120.2 million for repurchases of our common stock. In July 2010, our Board of Directors authorized a program to repurchase up to $150 million of our common stock prior to the end of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contractual obligations as of January 1, 2011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ind w:right="339"/>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7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Thereafter</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26,123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7,542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3,423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1,522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1,475</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Purchase obligations(2)</w:t>
            </w:r>
          </w:p>
        </w:tc>
        <w:tc>
          <w:tcPr>
            <w:tcW w:w="700" w:type="dxa"/>
            <w:vAlign w:val="bottom"/>
          </w:tcPr>
          <w:p>
            <w:pPr>
              <w:jc w:val="right"/>
              <w:spacing w:after="0"/>
              <w:rPr>
                <w:sz w:val="20"/>
                <w:szCs w:val="20"/>
                <w:color w:val="auto"/>
              </w:rPr>
            </w:pPr>
            <w:r>
              <w:rPr>
                <w:rFonts w:ascii="Arial" w:cs="Arial" w:eastAsia="Arial" w:hAnsi="Arial"/>
                <w:sz w:val="18"/>
                <w:szCs w:val="18"/>
                <w:color w:val="auto"/>
              </w:rPr>
              <w:t>38,506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38,475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obligations(3)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lease obligations include amounts for leased facilities.</w:t>
      </w:r>
    </w:p>
    <w:p>
      <w:pPr>
        <w:spacing w:after="0" w:line="252"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Purchase obligations include contractual arrangements in the form of purchase orders with suppliers where there is a fixed non-cancelable payment schedule or minimum payments due with a reduced delivery schedule.</w:t>
      </w:r>
    </w:p>
    <w:p>
      <w:pPr>
        <w:spacing w:after="0" w:line="199" w:lineRule="exact"/>
        <w:rPr>
          <w:rFonts w:ascii="Arial" w:cs="Arial" w:eastAsia="Arial" w:hAnsi="Arial"/>
          <w:sz w:val="18"/>
          <w:szCs w:val="18"/>
          <w:color w:val="auto"/>
        </w:rPr>
      </w:pPr>
    </w:p>
    <w:p>
      <w:pPr>
        <w:ind w:left="1680" w:right="220" w:hanging="531"/>
        <w:spacing w:after="0" w:line="259" w:lineRule="auto"/>
        <w:tabs>
          <w:tab w:leader="none" w:pos="1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We are unable to make a reasonably reliable estimate as to when or if cash settlement with taxing authorities will occur for our unrecognized tax benefits. Therefore, our liability of $10.8 million for unrecognized tax benefits is not included in the table above. See Note 15,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 the Consolidated Financial Statements for additional information.</w:t>
      </w:r>
    </w:p>
    <w:p>
      <w:pPr>
        <w:spacing w:after="0" w:line="19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Our future capital requirements will depend on many factors, including the rate of sales growth, market acceptance of our products, the timing and extent of research and development projects, potential acquisitions of companies or technologies and the expansion of our sales and marketing activities. We believe our existing cash and investment balances are sufficient to meet our capital requirements through at least the next 12 months, although we could be required, or could elect, to seek additional funding prior to that time. We may enter into acquisitions or strategic arrangements in the future which also could require us to seek additional equity or debt financing.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In March 2006, we entered into an operating lease agreement and a related participation agreement for a facility at 400 W. Cesar Chavez ("400 WCC") in Austin, Texas for our corporate headquarters. The lease has a term of seven years. The base rent for the term of the lease is an amount equal to the interest accruing on $44.3 million at 110 basis points over the three-month LIBOR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(which would be approximately $1.4 million over the remaining term assuming LIBOR averages 0.30% during such term).</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March 2008, we entered into an operating lease agreement and a related participation agreement for a facility at 200 W. Cesar Chavez ("200 WCC") in Austin, Texas for the expansion of our corporate headquarters. The lease has a term of five years. The base rent for the term of the lease is an amount equal to the interest accruing on $50.1 million at 155 basis points over the three-month LIBOR (which would be approximately $2.1 million over the remaining term assuming LIBOR averages 0.30% during such term).</w:t>
      </w:r>
    </w:p>
    <w:p>
      <w:pPr>
        <w:spacing w:after="0" w:line="197" w:lineRule="exact"/>
        <w:rPr>
          <w:sz w:val="20"/>
          <w:szCs w:val="20"/>
          <w:color w:val="auto"/>
        </w:rPr>
      </w:pPr>
    </w:p>
    <w:p>
      <w:pPr>
        <w:ind w:right="140" w:firstLine="348"/>
        <w:spacing w:after="0" w:line="303" w:lineRule="auto"/>
        <w:rPr>
          <w:sz w:val="20"/>
          <w:szCs w:val="20"/>
          <w:color w:val="auto"/>
        </w:rPr>
      </w:pPr>
      <w:r>
        <w:rPr>
          <w:rFonts w:ascii="Arial" w:cs="Arial" w:eastAsia="Arial" w:hAnsi="Arial"/>
          <w:sz w:val="15"/>
          <w:szCs w:val="15"/>
          <w:color w:val="auto"/>
        </w:rPr>
        <w:t>We have granted certain rights and remedies to the lessors in the event of certain defaults, including the right to terminate the leases, to bring suit to collect damages, and to compel us to purchase the facilities. The leases contain other customary representations, warranties, obligations, conditions, indemnification provisions and termination provisions, including covenants that we shall maintain unencumbered cash and highly-rated short-term investments of at least</w:t>
      </w:r>
    </w:p>
    <w:p>
      <w:pPr>
        <w:spacing w:after="0" w:line="1" w:lineRule="exact"/>
        <w:rPr>
          <w:sz w:val="20"/>
          <w:szCs w:val="20"/>
          <w:color w:val="auto"/>
        </w:rPr>
      </w:pPr>
    </w:p>
    <w:p>
      <w:pPr>
        <w:jc w:val="both"/>
        <w:ind w:right="480"/>
        <w:spacing w:after="0" w:line="302" w:lineRule="auto"/>
        <w:rPr>
          <w:sz w:val="20"/>
          <w:szCs w:val="20"/>
          <w:color w:val="auto"/>
        </w:rPr>
      </w:pPr>
      <w:r>
        <w:rPr>
          <w:rFonts w:ascii="Arial" w:cs="Arial" w:eastAsia="Arial" w:hAnsi="Arial"/>
          <w:sz w:val="16"/>
          <w:szCs w:val="16"/>
          <w:color w:val="auto"/>
        </w:rPr>
        <w:t>$75 million. If our unencumbered cash and highly-rated short-term investments are less than $150 million, we must also maintain a ratio of funded debt to earnings before interest expense, income taxes, depreciation, amortization, lease expense and other non-cash charges (EBITDAR) over the four prior fiscal quarters of no greater than 2 to 1. As of January 1, 2011, we believe we were in compliance with all covenants of the leases.</w:t>
      </w:r>
    </w:p>
    <w:p>
      <w:pPr>
        <w:spacing w:after="0" w:line="163"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During the terms of the leases, we have on-going options to purchase the buildings for purchase prices of approximately $44.3 million for 400 WCC and $50.1 million for 200 WCC. Alternatively, we can cause each such property to be sold to third parties provided we are not in default under that property's lease. We are contingently liable on a first dollar loss basis for up to $35.3 million to the extent that the 400 WCC sale proceeds are less than the $44.3 million purchase option and up to $40.0 million to the extent that the 200 WCC sale proceeds are less than the $50.1 million purchase option.</w:t>
      </w:r>
    </w:p>
    <w:p>
      <w:pPr>
        <w:spacing w:after="0" w:line="167"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determined that the fair value associated with the guaranteed residual values was $1.0 million for 400 WCC and $1.2 million for 200 WCC, as of the inception of the leases. These amounts were recorded in "Other assets, net" and "Long-term obligations and other liabilities" in the Consolidated Balance Sheets and are being amortized over the term of the leases.</w:t>
      </w:r>
    </w:p>
    <w:p>
      <w:pPr>
        <w:spacing w:after="0" w:line="194"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We are required to periodically evaluate the expected fair value of each facility at the end of the lease terms. If we determine that it is estimable and probable that the expected fair values will be less than $44.3 million for 400 WCC and $50.1 million for 200 WCC, we will ratably accrue the loss up to a maximum of approximately $35.3 million and $40.0 million, respectively, over the remaining lease terms as additional rent expense. As of January 1, 2011, we do not believe that a loss contingency accrual is required for either property. However, a prolonged economic downturn could increase the likelihood of such a loss accrual.</w:t>
      </w:r>
    </w:p>
    <w:p>
      <w:pPr>
        <w:spacing w:after="0" w:line="152"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 xml:space="preserve">In connection with our headquarters leases, during fiscal 2008 we entered into interest rate swap agreements as a hedge against the variable rent under the leases. Under the terms of the swap agreements, we have effectively converted the variable rents to fixed rents through March 2011 for 400 WCC and March 2013 for 200 WCC. See Note 5, </w:t>
      </w: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 to the Consolidated Financial Statements for additional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 preparation of financial statements and accompanying notes in conformity with U.S. generally accepted accounting principles requires that we make estimates and assumptions that affect the amounts reported. Changes in facts and circumstances could have a significant impact on the resulting estimated amounts included in the financial statements. We believe the following critical accounting</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policies affect our more complex judgments and estimates. We also have other policies that we consider to be key accounting policies, such as our policies for revenue recognition, including the deferral of revenues and cost of revenues on sales to distributors; however, these policies do not meet the definition of critical accounting estimates because they do not generally require us to make estimates or judgments that are difficult or subjective.</w:t>
      </w:r>
    </w:p>
    <w:p>
      <w:pPr>
        <w:spacing w:after="0" w:line="16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Inventory valuation</w:t>
      </w:r>
      <w:r>
        <w:rPr>
          <w:rFonts w:ascii="Arial" w:cs="Arial" w:eastAsia="Arial" w:hAnsi="Arial"/>
          <w:sz w:val="16"/>
          <w:szCs w:val="16"/>
          <w:color w:val="auto"/>
        </w:rPr>
        <w:t>—We assess the recoverability of inventories through the application of a set of methods, assumptions and estimates. In determining net</w:t>
      </w:r>
      <w:r>
        <w:rPr>
          <w:rFonts w:ascii="Arial" w:cs="Arial" w:eastAsia="Arial" w:hAnsi="Arial"/>
          <w:sz w:val="16"/>
          <w:szCs w:val="16"/>
          <w:i w:val="1"/>
          <w:iCs w:val="1"/>
          <w:color w:val="auto"/>
        </w:rPr>
        <w:t xml:space="preserve"> </w:t>
      </w:r>
      <w:r>
        <w:rPr>
          <w:rFonts w:ascii="Arial" w:cs="Arial" w:eastAsia="Arial" w:hAnsi="Arial"/>
          <w:sz w:val="16"/>
          <w:szCs w:val="16"/>
          <w:color w:val="auto"/>
        </w:rPr>
        <w:t>realizable value, we write down inventory that may be slow moving or have some form of obsolescence, including inventory that has aged more than 12 months. We also adjust the valuation of inventory when its standard cost exceeds the estimated market value. We assess the potential for any unusual customer returns based on known quality or business issues and write-off inventory losses for scrap or non-saleable material. Inventory not otherwise identified to be written down is compared to an assessment of our 12-month forecasted demand. The result of this methodology is compared against the product life cycle and competitive situations in the marketplace to determine the appropriateness of the resulting inventory levels. Demand for our products may fluctuate significantly over time, and actual demand and market conditions may be more or less favorable than those that we project. In the event that actual demand is lower or market conditions are worse than originally projected, additional inventory write-downs may be required.</w:t>
      </w:r>
    </w:p>
    <w:p>
      <w:pPr>
        <w:spacing w:after="0" w:line="172"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—We recognize the fair-value of stock-based compensation transactions in the Consolidated Statement of Income. The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our stock-based awards is estimated at the date of grant using the Black-Scholes option pricing model. The Black-Scholes valuation calculation requires us to estimate key assumptions such as future stock price volatility, expected terms, risk-free rates and dividend yield. Expected stock price volatility is based on implied volatility from traded options on our stock in the marketplace and historical volatility of our stock. The expected term of options granted is derived from an analysis of historical exercises and remaining contractual life of stock options, and represents the period of time that options granted are expected to be outstanding. The risk-free rate is based on the U.S. Treasury yield curve in effect at the time of grant. We have never paid cash dividends, and do not currently intend to pay cash dividends, and thus have assumed a 0% dividend yield. In addition, we are required to estimate the expected forfeiture rate of our stock grants and only recognize the expense for those shares expected to vest. If our actual experience differs significantly from the assumptions used to compute our stock-based compensation cost, or if different assumptions had been used, we may have recorded too much or too little stock-based compensation cost. See Note 12, </w:t>
      </w:r>
      <w:r>
        <w:rPr>
          <w:rFonts w:ascii="Arial" w:cs="Arial" w:eastAsia="Arial" w:hAnsi="Arial"/>
          <w:sz w:val="16"/>
          <w:szCs w:val="16"/>
          <w:i w:val="1"/>
          <w:iCs w:val="1"/>
          <w:color w:val="auto"/>
        </w:rPr>
        <w:t>Stock-Based Compensation</w:t>
      </w:r>
      <w:r>
        <w:rPr>
          <w:rFonts w:ascii="Arial" w:cs="Arial" w:eastAsia="Arial" w:hAnsi="Arial"/>
          <w:sz w:val="16"/>
          <w:szCs w:val="16"/>
          <w:color w:val="auto"/>
        </w:rPr>
        <w:t>, to the Consolidated Financial Statements for additional information.</w:t>
      </w:r>
    </w:p>
    <w:p>
      <w:pPr>
        <w:spacing w:after="0" w:line="177"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i w:val="1"/>
          <w:iCs w:val="1"/>
          <w:color w:val="auto"/>
        </w:rPr>
        <w:t>Investments in auction-rate securities</w:t>
      </w:r>
      <w:r>
        <w:rPr>
          <w:rFonts w:ascii="Arial" w:cs="Arial" w:eastAsia="Arial" w:hAnsi="Arial"/>
          <w:sz w:val="16"/>
          <w:szCs w:val="16"/>
          <w:color w:val="auto"/>
        </w:rPr>
        <w:t>—We determine the fair value of our investments in auction-rate securities using a discounted cash flow model. The</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assumptions used in preparing the discounted cash flow model include estimates for interest rates, amount of cash flows, expected holding periods of the securities and a discount to reflect our inability to liquidate the securities. For available-for-sale auction-rate securities, if the calculated value is below the carrying amount of the securities, we then determine if the decline in value is other-than-temporary. We consider various factors in determining whether an impairment is other-than-temporary, including the severity and duration of the impairment, changes in underlying credit ratings, forecasted recovery, our intent to sell or the likelihood that we would be required to sell the investment before its anticipated recovery in market value and the probability that the scheduled cash payments will continue to be made. When we conclude that an other-than-temporary impairment has occurred, we assess whether we intend to sell the security or if it is more likely than not that we will be required to sell the security before recovery. If either of these two conditions is met, we recognize a charge in earnings equal to the entire difference between the security's amortized cost basis and its fair value. If we do not intend to sell a security or it is not more likely than not that we will be required to sell the security before recovery,</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unrealized loss is separated into an amount representing the credit loss, which is recognized in earnings, and the amount related to all other factors, which is recorded in accumulated other comprehensive loss.</w:t>
      </w:r>
    </w:p>
    <w:p>
      <w:pPr>
        <w:spacing w:after="0" w:line="186"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i w:val="1"/>
          <w:iCs w:val="1"/>
          <w:color w:val="auto"/>
        </w:rPr>
        <w:t>Acquired intangible assets</w:t>
      </w:r>
      <w:r>
        <w:rPr>
          <w:rFonts w:ascii="Arial" w:cs="Arial" w:eastAsia="Arial" w:hAnsi="Arial"/>
          <w:sz w:val="18"/>
          <w:szCs w:val="18"/>
          <w:color w:val="auto"/>
        </w:rPr>
        <w:t>—When we acquire a business, a portion of the purchase price is typically allocated to identifiable intangible assets,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technology and customer relationships. Fair value of these assets is determined primarily using the income approach, which requires us to project future cash flows and apply an appropriate discount rate. We amortize intangible assets with finite lives over their expected useful lives. Our estimates are based upon assumptions believed to be reasonable but which are inherently uncertain and unpredictable. Assumptions may be incomplete or inaccurate, and unanticipated events and circumstances may occur. Incorrect estimates could result in future impairment charges, and those charges could be material to our results of operations.</w:t>
      </w:r>
    </w:p>
    <w:p>
      <w:pPr>
        <w:spacing w:after="0" w:line="19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Impairment of goodwill and other long-lived assets</w:t>
      </w:r>
      <w:r>
        <w:rPr>
          <w:rFonts w:ascii="Arial" w:cs="Arial" w:eastAsia="Arial" w:hAnsi="Arial"/>
          <w:sz w:val="16"/>
          <w:szCs w:val="16"/>
          <w:color w:val="auto"/>
        </w:rPr>
        <w:t>—We review long-lived assets which are held and used, including fixed assets and purchased intangible</w:t>
      </w:r>
      <w:r>
        <w:rPr>
          <w:rFonts w:ascii="Arial" w:cs="Arial" w:eastAsia="Arial" w:hAnsi="Arial"/>
          <w:sz w:val="16"/>
          <w:szCs w:val="16"/>
          <w:i w:val="1"/>
          <w:iCs w:val="1"/>
          <w:color w:val="auto"/>
        </w:rPr>
        <w:t xml:space="preserve"> </w:t>
      </w:r>
      <w:r>
        <w:rPr>
          <w:rFonts w:ascii="Arial" w:cs="Arial" w:eastAsia="Arial" w:hAnsi="Arial"/>
          <w:sz w:val="16"/>
          <w:szCs w:val="16"/>
          <w:color w:val="auto"/>
        </w:rPr>
        <w:t>assets, for impairment whenever changes in circumstances indicate that the carrying amount of the assets may not be recoverable. Such evaluations compare the carrying amount of an asset to future undiscounted net cash flows expected to be generated by the asset over its expected useful life and are significantly impacted by estimates of future prices and volumes for our products, capital needs, economic trends and other factors which are inherently difficult to forecast. If the asset is considered to be impaired, we record an impairment charge equal to the amount by which the carrying value of the asset exceeds its fair value determined by either a quoted market price, if any, or a value determined by utilizing a discounted cash flow technique.</w:t>
      </w:r>
    </w:p>
    <w:p>
      <w:pPr>
        <w:spacing w:after="0" w:line="174"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test our goodwill for impairment annually as of the first day of our fourth fiscal quarter and in interim periods if certain events occur indicating that the carrying value of goodwill may be impaired. The goodwill impairment test is a two-step process. The first step of the impairment analysis compares our fair value to our net book value. In determining fair value, the accounting guidance allows for the use of several valuation methodologies, although it states quoted market prices are the best evidence of fair value. If the fair value is less than the net book value, the second step of the analysis compares the implied fair value of our goodwill to its carrying amount. If the carrying amount of goodwill exceeds its implied fair value, we recognize an impairment loss equal to that excess amount.</w:t>
      </w:r>
    </w:p>
    <w:p>
      <w:pPr>
        <w:spacing w:after="0" w:line="170"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—We are required to estimate income taxes in each of the jurisdictions in which we operate. This process involves estimating the actual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tax liability together with assessing temporary differences in recognition of income (loss) for tax and accounting purposes. These differences result in deferred tax assets and liabilities, which are included in our Consolidated Balance Sheet. We then assess the likelihood that the deferred tax assets will be recovered from future taxable income and, to the extent we believe that recovery is not likely, we establish a valuation allowance against the deferred tax asset.</w:t>
      </w:r>
    </w:p>
    <w:p>
      <w:pPr>
        <w:spacing w:after="0" w:line="167"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recognize liabilities for uncertain tax positions based on a two-step process. The first step requires us to determine if the weight of available evidence indicates that the tax position has met the threshold for recognition; therefore, we must evaluate whether it is more likely than not that the position will be sustained on audit, including resolution of any related appeals or litigation processes. The second step requires us to measure the tax benefit of the tax position taken, or expected to be taken, in an income tax return as the largest amount that is more than 50% likely of being realized upon ultimate settlement. This measurement step is inherently complex and requires subjective estimations of such amounts to determine the probability of various possible outcomes. We re-evaluate the uncertain tax positions each quarter based on factors including, but not limited to, changes in facts or circumstances, changes in tax law, expirations of statutes of limitation, effectively settled issues under audit, and new audit activity. Such a change in recognition or measurement would result in the recognition of a tax benefit or an additional charge to the tax provision in the period.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Although we believe the measurement of our liabilities for uncertain tax positions is reasonable, no assurance can be given that the final outcome of these matters will not be different than what is reflected in the historical income tax provisions and accruals. If additional taxes are assessed as a result of an audit or litigation, it could have a material effect on our income tax provision and net income in the period or periods for which that determination is made. We operate within multiple taxing jurisdictions and are subject to audit in these jurisdictions. These audits can involve complex issues which may require an extended period of time to resolve and could result in additional assessments of income tax. We believe adequate provisions for income taxes have been made for all periods.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In December 2010, the Financial Accounting Standards Board (FASB) issued FASB Accounting Standards Update (ASU) No. 2010-29,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 (Topic 805)—Disclosure of Supplementary Pro Forma Information for Business Combinations</w:t>
      </w:r>
      <w:r>
        <w:rPr>
          <w:rFonts w:ascii="Arial" w:cs="Arial" w:eastAsia="Arial" w:hAnsi="Arial"/>
          <w:sz w:val="16"/>
          <w:szCs w:val="16"/>
          <w:color w:val="auto"/>
        </w:rPr>
        <w:t>. This ASU addresses diversity in practice about the</w:t>
      </w:r>
      <w:r>
        <w:rPr>
          <w:rFonts w:ascii="Arial" w:cs="Arial" w:eastAsia="Arial" w:hAnsi="Arial"/>
          <w:sz w:val="16"/>
          <w:szCs w:val="16"/>
          <w:i w:val="1"/>
          <w:iCs w:val="1"/>
          <w:color w:val="auto"/>
        </w:rPr>
        <w:t xml:space="preserve"> </w:t>
      </w:r>
      <w:r>
        <w:rPr>
          <w:rFonts w:ascii="Arial" w:cs="Arial" w:eastAsia="Arial" w:hAnsi="Arial"/>
          <w:sz w:val="16"/>
          <w:szCs w:val="16"/>
          <w:color w:val="auto"/>
        </w:rPr>
        <w:t>interpretation of the pro forma revenue and earnings disclosure requirements for business combinations. The ASU clarifies that when presenting comparative financial statements, an entity should disclose revenue and earnings of the combined entity as though the business combination(s) that occurred during the current year had occurred as of the beginning of the comparable prior annual reporting period only. The ASU also expands the supplemental pro forma disclosures under Topic 805 to include a description of the nature and amount of material, nonrecurring pro forma adjustments directly attributable to the business combination included in the reported pro forma revenue and earnings. ASU 2010-29 is effective prospectively for business combinations for which the acquisition date is on or after the beginning of the first annual reporting period beginning on or after December 15, 2010. The adoption of this ASU is not expected to have a material impact on our financial statements.</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In January 2010, the FASB issued FASB ASU No. 2010-06, </w:t>
      </w:r>
      <w:r>
        <w:rPr>
          <w:rFonts w:ascii="Arial" w:cs="Arial" w:eastAsia="Arial" w:hAnsi="Arial"/>
          <w:sz w:val="16"/>
          <w:szCs w:val="16"/>
          <w:i w:val="1"/>
          <w:iCs w:val="1"/>
          <w:color w:val="auto"/>
        </w:rPr>
        <w:t>Fair Value Measurements and Disclosures (Topic 820)—Improving Disclosures about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 Measurements</w:t>
      </w:r>
      <w:r>
        <w:rPr>
          <w:rFonts w:ascii="Arial" w:cs="Arial" w:eastAsia="Arial" w:hAnsi="Arial"/>
          <w:sz w:val="16"/>
          <w:szCs w:val="16"/>
          <w:color w:val="auto"/>
        </w:rPr>
        <w:t>. This ASU requires new disclosures about significant transfers in and out of Levels 1 and 2 fair value measurements and separate disclosures</w:t>
      </w:r>
      <w:r>
        <w:rPr>
          <w:rFonts w:ascii="Arial" w:cs="Arial" w:eastAsia="Arial" w:hAnsi="Arial"/>
          <w:sz w:val="16"/>
          <w:szCs w:val="16"/>
          <w:i w:val="1"/>
          <w:iCs w:val="1"/>
          <w:color w:val="auto"/>
        </w:rPr>
        <w:t xml:space="preserve"> </w:t>
      </w:r>
      <w:r>
        <w:rPr>
          <w:rFonts w:ascii="Arial" w:cs="Arial" w:eastAsia="Arial" w:hAnsi="Arial"/>
          <w:sz w:val="16"/>
          <w:szCs w:val="16"/>
          <w:color w:val="auto"/>
        </w:rPr>
        <w:t>about purchases, sales, issuances and settlements relating to Level 3 fair value measurements. The ASU also clarifies existing disclosure requirements regarding inputs and valuation techniques, as well as the level of disaggregation for each class of assets and liabilities for which separate fair value measurements should be disclosed. We adopted ASU 2010-06 at the beginning of fiscal 2010, except for the separate disclosures about purchases, sales, issuances and settlements relating to Level 3 measurements, which is effective for us at the beginning of fiscal 2011. The adoption of this ASU did not have a material impact, and the deferred provisions of this ASU are not expected to have a material impact, on our financial statements.</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investment portfolio includes cash, cash equivalents, short-term investments and long-term investments. Our main investment objectives are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preservation of investment capital and the maximization of after-tax returns on our investment portfolio. Our interest income is sensitive to changes in the general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level of U.S. interest rates. Our investment portfolio holdings as of January 1, 2011 and January 2, 2010 yielded less than 100 basis points. A decline in yield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zero basis points on our investment portfolio holdings as of January 1, 2011 and January 2, 2010 would decrease our annual interest income by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 million and $2.6 million, respectively. We believe that our investment policy is conservative, both in the duration of our investments and the credit quality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investments we hold.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Headquarters Lease Rent</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are exposed to interest rate fluctuations in the normal course of our business, including through our corporate headquarters leases. The base rents for these leases are calculated using a variable interest rate based on the three-month LIBOR. We have entered into interest rate swap agreements with notional values of $44.3 million and $50.1 million and, effectively, fixed the rent payment amounts on these leases through March 2011 and March 2013, respectively. The fair value of the interest rate swap agreements at January 1, 2011 was a $3.8 million obligation.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Auction-rate Securities</w:t>
      </w:r>
    </w:p>
    <w:p>
      <w:pPr>
        <w:spacing w:after="0" w:line="225" w:lineRule="exact"/>
        <w:rPr>
          <w:sz w:val="20"/>
          <w:szCs w:val="20"/>
          <w:color w:val="auto"/>
        </w:rPr>
      </w:pPr>
    </w:p>
    <w:p>
      <w:pPr>
        <w:ind w:right="360" w:firstLine="351"/>
        <w:spacing w:after="0" w:line="291" w:lineRule="auto"/>
        <w:rPr>
          <w:sz w:val="20"/>
          <w:szCs w:val="20"/>
          <w:color w:val="auto"/>
        </w:rPr>
      </w:pPr>
      <w:r>
        <w:rPr>
          <w:rFonts w:ascii="Arial" w:cs="Arial" w:eastAsia="Arial" w:hAnsi="Arial"/>
          <w:sz w:val="16"/>
          <w:szCs w:val="16"/>
          <w:color w:val="auto"/>
        </w:rPr>
        <w:t>Beginning in fiscal 2008, auctions for many of our auction-rate securities failed because sell orders exceeded buy orders. As of January 1, 2011, we held $19.7 million par value auction-rate securities, all of which have experienced failed auctions. The principal amounts associated with failed auctions are not expected to be accessible until a successful auction occurs, the issuer redeems the securities, a buyer is found outside of the auction process or the underlying securities mature. We are unable to predict if these funds will become available before their maturity dates. Additionally, if we determine that an other-than-temporary decline in the fair value of any of our available-for-sale auction-rate securities has occurred, we may be required to adjust the carrying value of the investments through an impairment charge.</w:t>
      </w:r>
    </w:p>
    <w:p>
      <w:pPr>
        <w:spacing w:after="0" w:line="16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231"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Financial Statements and supplementary data required by this item are included in Part IV, Item 15 of this Form 10-K and are presented beginning on page F-1.</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31" w:lineRule="exact"/>
        <w:rPr>
          <w:sz w:val="20"/>
          <w:szCs w:val="20"/>
          <w:color w:val="auto"/>
        </w:rPr>
      </w:pPr>
    </w:p>
    <w:p>
      <w:pPr>
        <w:ind w:right="140" w:firstLine="348"/>
        <w:spacing w:after="0" w:line="289" w:lineRule="auto"/>
        <w:rPr>
          <w:sz w:val="20"/>
          <w:szCs w:val="20"/>
          <w:color w:val="auto"/>
        </w:rPr>
      </w:pPr>
      <w:r>
        <w:rPr>
          <w:rFonts w:ascii="Arial" w:cs="Arial" w:eastAsia="Arial" w:hAnsi="Arial"/>
          <w:sz w:val="16"/>
          <w:szCs w:val="16"/>
          <w:color w:val="auto"/>
        </w:rPr>
        <w:t>We have performed an evaluation under the supervision and with the participation of our management, including our Chief Executive Officer (CEO) and Chief Financial Officer (CFO), of the effectiveness of our disclosure controls and procedures, as defined in Rule 13a-15(e) under the Securities Exchange Act of 1934 (the Exchange Act). Based on that evaluation, our management, including our CEO and CFO, concluded that our disclosure controls and procedures were effective as of January 1, 2011 to provide reasonable assurance that information required to be disclosed by us in the reports filed or submitted by us under the Exchange Act is recorded, processed, summarized and reported within the time periods specified in the SEC's rules and forms. Such disclosure controls and procedures include controls and procedures designed to ensure that information required to be disclosed is accumulated and communicated to our management, including our CEO and CFO, to allow timely decisions regarding required disclosures. There was no change in our internal controls during the fiscal quarter ended January 1, 2011 that materially affected, or is reasonably likely to materially affect, our internal controls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ind w:right="40" w:firstLine="351"/>
        <w:spacing w:after="0" w:line="370"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Our internal control system was designed to provide reasonable assurance to our management and Board of Directors regarding the preparation and fair presentation of published financial statements.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 xml:space="preserve">Our management assessed the effectiveness of our internal control over financial reporting as of January 1, 2011. In making this assessment, it used the criteria set forth by the Committee of Sponsoring Organizations of the Treadway Commission (COSO)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Based on our assessment we concluded that, as of January 1, 2011, our internal control over financial reporting is effective based on those criteria.</w:t>
      </w:r>
    </w:p>
    <w:p>
      <w:pPr>
        <w:spacing w:after="0" w:line="16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Our independent registered public accounting firm, Ernst &amp; Young LLP, issued an attestation report on our internal control over financial reporting. This report appears on page F-1.</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III</w:t>
      </w:r>
    </w:p>
    <w:p>
      <w:pPr>
        <w:spacing w:after="0" w:line="231"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Certain information required by Part III is omitted from this report because we intend to file a definitive Proxy Statement pursuant to Regulation 14A (the "Proxy Statement") no later than 120 days after the end of the fiscal year covered by this report, and certain information to be included therein is incorporated herein by reference.</w:t>
      </w:r>
    </w:p>
    <w:p>
      <w:pPr>
        <w:spacing w:after="0" w:line="18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Set forth below is information regarding the executive officers and directors of Silicon Laboratories as of January 31, 2011.</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9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240" w:type="dxa"/>
            <w:vAlign w:val="bottom"/>
          </w:tcPr>
          <w:p>
            <w:pPr>
              <w:spacing w:after="0"/>
              <w:rPr>
                <w:sz w:val="14"/>
                <w:szCs w:val="14"/>
                <w:color w:val="auto"/>
              </w:rPr>
            </w:pPr>
          </w:p>
        </w:tc>
        <w:tc>
          <w:tcPr>
            <w:tcW w:w="5560" w:type="dxa"/>
            <w:vAlign w:val="bottom"/>
          </w:tcPr>
          <w:p>
            <w:pPr>
              <w:ind w:left="254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Navdeep S. Sooch</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5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Chairman of the Board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Necip Sayiner</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5800" w:type="dxa"/>
            <w:vAlign w:val="bottom"/>
            <w:gridSpan w:val="2"/>
          </w:tcPr>
          <w:p>
            <w:pPr>
              <w:ind w:left="240"/>
              <w:spacing w:after="0"/>
              <w:rPr>
                <w:sz w:val="20"/>
                <w:szCs w:val="20"/>
                <w:color w:val="auto"/>
              </w:rPr>
            </w:pPr>
            <w:r>
              <w:rPr>
                <w:rFonts w:ascii="Arial" w:cs="Arial" w:eastAsia="Arial" w:hAnsi="Arial"/>
                <w:sz w:val="18"/>
                <w:szCs w:val="18"/>
                <w:color w:val="auto"/>
              </w:rPr>
              <w:t>Chief Executive Officer, President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G. Bock</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5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Chief Financial Officer and Senior Vice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Jonathan D. Ivester</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5800" w:type="dxa"/>
            <w:vAlign w:val="bottom"/>
            <w:gridSpan w:val="2"/>
          </w:tcPr>
          <w:p>
            <w:pPr>
              <w:ind w:left="240"/>
              <w:spacing w:after="0"/>
              <w:rPr>
                <w:sz w:val="20"/>
                <w:szCs w:val="20"/>
                <w:color w:val="auto"/>
              </w:rPr>
            </w:pPr>
            <w:r>
              <w:rPr>
                <w:rFonts w:ascii="Arial" w:cs="Arial" w:eastAsia="Arial" w:hAnsi="Arial"/>
                <w:sz w:val="18"/>
                <w:szCs w:val="18"/>
                <w:color w:val="auto"/>
              </w:rPr>
              <w:t>Senior Vice President of Worldwide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Kurt W. Hoff</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5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Vice President of Worldwide Sales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Paul V. Walsh, Jr.</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5800" w:type="dxa"/>
            <w:vAlign w:val="bottom"/>
            <w:gridSpan w:val="2"/>
          </w:tcPr>
          <w:p>
            <w:pPr>
              <w:ind w:left="240"/>
              <w:spacing w:after="0"/>
              <w:rPr>
                <w:sz w:val="20"/>
                <w:szCs w:val="20"/>
                <w:color w:val="auto"/>
              </w:rPr>
            </w:pPr>
            <w:r>
              <w:rPr>
                <w:rFonts w:ascii="Arial" w:cs="Arial" w:eastAsia="Arial" w:hAnsi="Arial"/>
                <w:sz w:val="18"/>
                <w:szCs w:val="18"/>
                <w:color w:val="auto"/>
              </w:rPr>
              <w:t>Chief Accounting Officer and Vice President of Finance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 Welland</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5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Vice President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Harvey B. Cash</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580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Ted Enloe III</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5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Kristen M. Onken</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580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Laurence G. Walker</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5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William P. Wood</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580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Navdeep S. Sooch co-founded Silicon Laboratories in August 1996 and has served as Chairman of the Board since our inception. Mr. Sooch served as our Chief Executive Officer from our inception through the end of fiscal 2003 and served as interim Chief Executive Officer from April 2005 to September 2005. From March 1985 until founding Silicon Laboratories, Mr. Sooch held various positions at Crystal Semiconductor/Cirrus Logic, a designer and manufacturer of integrated circuits, including Vice President of Engineering, as well as Product Planning Manager of Strategic Marketing and Design Engineer. From May 1982 to March 1985, Mr. Sooch was a Design Engineer with AT&amp;T Bell Labs. Mr. Sooch holds a B.S. in Electrical Engineering from the University of Michigan, Dearborn and an M.S. in Electrical Engineering from Stanford University. Mr. Sooch's prior experience as our Chief Executive Officer as well as a semiconductor designer provides him with extensive insight into our operations and qualifies him to serve as Chairman of our Board of Directors.</w:t>
      </w:r>
    </w:p>
    <w:p>
      <w:pPr>
        <w:spacing w:after="0" w:line="172" w:lineRule="exact"/>
        <w:rPr>
          <w:sz w:val="20"/>
          <w:szCs w:val="20"/>
          <w:color w:val="auto"/>
        </w:rPr>
      </w:pPr>
    </w:p>
    <w:p>
      <w:pPr>
        <w:ind w:right="760" w:firstLine="351"/>
        <w:spacing w:after="0" w:line="332" w:lineRule="auto"/>
        <w:rPr>
          <w:sz w:val="20"/>
          <w:szCs w:val="20"/>
          <w:color w:val="auto"/>
        </w:rPr>
      </w:pPr>
      <w:r>
        <w:rPr>
          <w:rFonts w:ascii="Arial" w:cs="Arial" w:eastAsia="Arial" w:hAnsi="Arial"/>
          <w:sz w:val="16"/>
          <w:szCs w:val="16"/>
          <w:color w:val="auto"/>
        </w:rPr>
        <w:t>Necip Sayiner has served as director, President and Chief Executive Officer of Silicon Laboratories since September 2005. Prior to joining Silicon Laboratories, Mr. Sayiner held various leadership positions at Agere Systems Inc. From August 2004 to September 2005, Mr. Sayiner served as Vice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President and General Manager of Agere's Enterprise and Networking Division and from March 2002 to August 2004 he served as Vice President and General Manager of Agere's Networking IC Division. Mr. Sayiner holds a B.S. in electrical engineering and physics from Bosphorus University in Turkey, an M.S. in Electrical Engineering from Southern Illinois University, and a Ph.D. in Electrical Engineering from the University of Pennsylvania. Mr. Sayiner's experience and understanding of our business gained through his role as our President and Chief Executive Officer qualifies him to serve as a member of our Board of Directors.</w:t>
      </w:r>
    </w:p>
    <w:p>
      <w:pPr>
        <w:spacing w:after="0" w:line="167"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William G. Bock has served as Senior Vice President of Finance and Administration and Chief Financial Officer since November 2006. Mr. Bock joined Silicon Laboratories as a director in March 2000, and served as Chairman of the audit committee until November 2006 when he stepped down from the Board of Directors to assume his current role. From April 2001 to November 2006, Mr. Bock participated in the venture capital industry, principally as a partner with CenterPoint Ventures. From February 1997 to March 2001, Mr. Bock led DAZEL Corporation, a provider of electronic information delivery systems, initially as its President and Chief Executive Officer and subsequent to its acquisition by Hewlett-Packard in June 1999 as an HP Vice President and General Manager. Prior to 1997, Mr. Bock served as Chief Operating Officer of Tivoli Systems, a client server software company acquired by IBM in March 1996, in senior sales and financial management positions with Convex Computer Corporation and began his career with Texas Instruments. Mr. Bock holds a B.S. in Computer Science from Iowa State University and an M.S. in Industrial Administration from Carnegie Mellon University.</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Jonathan D. Ivester joined Silicon Laboratories in September 1997 as Vice President. He served as Vice President of Worldwide Operations since May 2005. Mr. Ivester was promoted to Senior Vice President of Worldwide Operations in June 2008. From May 1984 to September 1997, Mr. Ivester was with Applied Materials, a supplier of equipment and services to the semiconductor industry, and served as Director of Manufacturing and Director of U.S. Procurement in addition to various engineering and manufacturing management positions. Mr. Ivester was a scientist at Bechtel Corporation, an engineering and construction company, from 1980 to 1982 and at Abcor, Inc., an ultrafiltration company and subsidiary of Koch Industries, from 1978 to 1980. Mr. Ivester holds a B.S. in Chemistry from the Massachusetts Institute of Technology and an M.B.A. from Stanford University.</w:t>
      </w:r>
    </w:p>
    <w:p>
      <w:pPr>
        <w:spacing w:after="0" w:line="174"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Kurt W. Hoff has served as Vice President of Worldwide Sales for Silicon Laboratories since July 2007. From 2005 until July 2007, he managed the company's European sales and operations. Prior to joining Silicon Laboratories in 2005, Mr. Hoff served as president, chief executive officer and director of Cognio. Mr. Hoff also managed the operations and sales of C-Port Corporation, a network processor company acquired by Motorola in May 2000. Additionally, Mr. Hoff spent 10 years in various sales positions at AMD. Mr. Hoff holds a B.S. in Physics from the University of Illinois and an M.B.A. from the University of Chicago.</w:t>
      </w:r>
    </w:p>
    <w:p>
      <w:pPr>
        <w:spacing w:after="0" w:line="19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Paul V. Walsh joined Silicon Laboratories in January 2004 as Director of Finance, Worldwide Operations, and was appointed Corporate Controller in March 2005. In November 2006, Mr. Walsh was promoted to Vice President and Chief Accounting Officer. From January 2009 through September 2010, Mr. Walsh served on the Board of Directors of Rio Holdings, Inc. (previously Grande Communications, Inc.), a provider of cable, internet and phone services, where he also served as the Chairman of the Audit Committee and as a member of the Finance Committee. Prior to joining Silicon Laboratories, Mr. Walsh was Site Controller from February 2003 to January 2004 with PerkinElmer, a supplier to the health sciences and photonics markets. From 1992 to 2003, Mr. Walsh held various operational, finance and management roles at Analog Devices and Teradyne, in the Boston area. Mr. Walsh received his B.S. in Mechanical Engineering from the University of Maine, and an M.B.A from Boston University.</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David R. Welland co-founded Silicon Laboratories in August 1996, has served as a Vice President and director since our inception and was appointed Fellow in March 2004. From November 1991 until founding Silicon Laboratories, Mr. Welland held various positions at Crystal Semiconductor/Cirrus Logic, a designer and manufacturer of integrated circuits, including Senior Design Engineer. Mr. Welland holds a B.S. in Electrical Engineering from the Massachusetts Institute of Technology. Mr. Welland's years of experience as a semiconductor designer provides him with extensive insight into our operations and qualifies him to serve as a member of our Board of Directors.</w:t>
      </w:r>
    </w:p>
    <w:p>
      <w:pPr>
        <w:spacing w:after="0" w:line="19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Harvey B. Cash has served as a director of Silicon Laboratories since June 1997. Mr. Cash has served as general partner of InterWest Partners, a venture capital firm, since 1986. Mr. Cash currently serves on the Board of Directors of the following public companies: Ciena Corporation, a designer and manufacturer of dense wavelength division multiplexing systems for fiber optic networks; Argo Group International Holdings, Ltd., a specialty insurance company; and First Acceptance Corp, a provider of low-cost auto insurance. Mr. Cash holds a B.S. in Electrical Engineering from Texas A&amp;M University and an M.B.A. from Western Michigan University. Mr. Cash's independence and experience as a director of various public companies, as well as his prior operational experience as an executive, qualifies him to serve as a member of our Board of Directors.</w:t>
      </w:r>
    </w:p>
    <w:p>
      <w:pPr>
        <w:spacing w:after="0" w:line="174"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R. Ted Enloe III has served as a director of Silicon Laboratories since April 2003. Mr. Enloe is currently the Managing General Partner of Balquita Partners, Ltd., a family investment firm. Previously, Mr. Enloe served as President and Chief Executive Officer of Optisoft, Inc., a provider of intelligent traffic signal platforms. Mr. Enloe formerly served as Vice Chairman and member of the office of chief executive of Compaq Computer Corporation. He also served as President of Lomas Financial Corporation and Liberté Investors for more than 15 years. Mr. Enloe co-founded a number of other publicly held firms, including Capstead Mortgage Corp., Tyler Cabot Mortgage Securities Corp., and Seaman's Corp. Mr. Enloe currently serves on the Board of Directors of Leggett &amp; Platt, Inc. and Live Nation, Inc. Mr. Enloe holds a B.S. in Engineering from Louisiana Polytechnic University and a J.D. from Southern Methodist University. Mr. Enloe's combination of independence, qualification as an audit committee financial expert and his experience, including past experience as an executive officer and current and past experience as a director of various public companies, qualifies him to serve as a member of our Board of Directors.</w:t>
      </w:r>
    </w:p>
    <w:p>
      <w:pPr>
        <w:spacing w:after="0" w:line="172"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Kristen M. Onken has served as a director of Silicon Laboratories since September 2007. Ms. Onken retired from Logitech in May 2006, a maker of electronics peripherals, where she served as Senior Vice President, Finance, and Chief Financial Officer from February 1999 to May 2006. From September 1996 to February 1999, Ms. Onken served as Vice President of Finance at Fujitsu PC Corporation, the U.S. subsidiary of the Japanese electronics manufacturer. From 1991 to September 1996, Ms. Onken was employed by Sun Microsystems initially as Controller of the Southwest Area, and later as Director of Finance, Sun Professional Services. Ms. Onken holds a B.S. from Southern Illinois University, and an M.B.A. in Finance from the University of Chicago. Ms. Onken's independence and prior experience as the Chief Financial Officer of Logitech and her finance roles with other technology companies qualifies her to serve as a member of our Board of Directors.</w:t>
      </w:r>
    </w:p>
    <w:p>
      <w:pPr>
        <w:spacing w:after="0" w:line="20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Laurence G. Walker has served as a director of Silicon Laboratories since June 2003. Previously, Mr. Walker co-founded and served as Chief Executive Officer of C-Port Corporation, a pioneer in the network processor industry, which was acquired by Motorola in 2000. Following the acquisition, Mr. Walker served as Vice President of Strategy for Motorola's Network and Computing Systems Group and then as Vice President and General Manager of the Network and Computing Systems Group until 2002. From August 1996 to May 1997, Mr. Walker served as Chief Executive Officer of CertCo, a digital certification supplier. Mr. Walker served as Vice President and General Manager, Network Products Business Unit, of Digital Equipment Corporation, a computer hardware company, from January 1994 to July 1996. From 1998 to 2007, he served on the Board of Directors of McData Corporation, a provider of storage networking solutions. From 1981 to 1994, he held a variety of other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management positions at Digital Equipment Corporation. Mr. Walker holds a B.S. in Electrical Engineering from Princeton University and an M.S. and Ph.D. in Electrical Engineering from the Massachusetts Institute of Technology. Mr. Walker's combination of independence and his experience, including past experience as an executive officer, qualifies him to serve as a member of our Board of Directors.</w:t>
      </w:r>
    </w:p>
    <w:p>
      <w:pPr>
        <w:spacing w:after="0" w:line="19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William P. Wood has served as a director of Silicon Laboratories since March 1997 and as Lead Director since December 2005. Since 1996, Mr. Wood has also served as general partner of various funds associated with Silverton Partners, a venture capital firm. From 1984 to 2003, Mr. Wood was a general partner, and for certain funds created since 1996, a special limited partner, of various funds associated with Austin Ventures, a venture capital firm. Mr. Wood holds a B.A. in History from Brown University and an M.B.A. from Harvard University. Mr. Wood's combination of independence and his experience, including past experience as an investor in numerous semiconductor and technology companies, qualifies him to serve as a member of our Board of Directors.</w:t>
      </w:r>
    </w:p>
    <w:p>
      <w:pPr>
        <w:spacing w:after="0" w:line="170"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remaining information required by this Item is incorporated by reference to the Proxy Statement under the sections captioned "Proposal One: Election of Directors", "Executive Compensation", "Section 16(a) Beneficial Ownership Reporting Compliance" and "Code of Ethics."</w:t>
      </w:r>
    </w:p>
    <w:p>
      <w:pPr>
        <w:spacing w:after="0" w:line="13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information under the caption "Executive Compensation" and "Proposal One: Election of Directors" appearing in the Proxy Statement, is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information under the caption "Ownership of Securities" and "Equity Compensation Plan Information" appearing in the Proxy Statement is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231"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The information under the caption "Certain Relationships and Related Transactions, and Director Independence" appearing in the Proxy Statement is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information under the caption "Proposal Two: Ratification of Appointment of Independent Registered Public Accounting Firm" appearing in the Proxy Statement is incorporated herein by reference.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40" w:type="dxa"/>
            <w:vAlign w:val="bottom"/>
            <w:gridSpan w:val="5"/>
          </w:tcPr>
          <w:p>
            <w:pPr>
              <w:jc w:val="center"/>
              <w:ind w:right="3660"/>
              <w:spacing w:after="0"/>
              <w:rPr>
                <w:sz w:val="20"/>
                <w:szCs w:val="20"/>
                <w:color w:val="auto"/>
              </w:rPr>
            </w:pPr>
            <w:r>
              <w:rPr>
                <w:rFonts w:ascii="Arial" w:cs="Arial" w:eastAsia="Arial" w:hAnsi="Arial"/>
                <w:sz w:val="18"/>
                <w:szCs w:val="18"/>
                <w:b w:val="1"/>
                <w:bCs w:val="1"/>
                <w:color w:val="auto"/>
              </w:rPr>
              <w:t>Part IV</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9940" w:type="dxa"/>
            <w:vAlign w:val="bottom"/>
            <w:gridSpan w:val="12"/>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80" w:type="dxa"/>
            <w:vAlign w:val="bottom"/>
          </w:tcPr>
          <w:p>
            <w:pPr>
              <w:spacing w:after="0"/>
              <w:rPr>
                <w:sz w:val="20"/>
                <w:szCs w:val="20"/>
                <w:color w:val="auto"/>
              </w:rPr>
            </w:pPr>
            <w:r>
              <w:rPr>
                <w:rFonts w:ascii="Arial" w:cs="Arial" w:eastAsia="Arial" w:hAnsi="Arial"/>
                <w:sz w:val="18"/>
                <w:szCs w:val="18"/>
                <w:color w:val="auto"/>
              </w:rPr>
              <w:t>(a)</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9180" w:type="dxa"/>
            <w:vAlign w:val="bottom"/>
            <w:gridSpan w:val="10"/>
          </w:tcPr>
          <w:p>
            <w:pPr>
              <w:ind w:left="100"/>
              <w:spacing w:after="0"/>
              <w:rPr>
                <w:sz w:val="20"/>
                <w:szCs w:val="20"/>
                <w:color w:val="auto"/>
              </w:rPr>
            </w:pPr>
            <w:r>
              <w:rPr>
                <w:rFonts w:ascii="Arial" w:cs="Arial" w:eastAsia="Arial" w:hAnsi="Arial"/>
                <w:sz w:val="18"/>
                <w:szCs w:val="18"/>
                <w:color w:val="auto"/>
              </w:rPr>
              <w:t>Financial Statements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40" w:type="dxa"/>
            <w:vAlign w:val="bottom"/>
            <w:gridSpan w:val="5"/>
          </w:tcPr>
          <w:p>
            <w:pPr>
              <w:jc w:val="center"/>
              <w:ind w:right="3660"/>
              <w:spacing w:after="0"/>
              <w:rPr>
                <w:sz w:val="20"/>
                <w:szCs w:val="20"/>
                <w:color w:val="auto"/>
              </w:rPr>
            </w:pPr>
            <w:r>
              <w:rPr>
                <w:rFonts w:ascii="Arial" w:cs="Arial" w:eastAsia="Arial" w:hAnsi="Arial"/>
                <w:sz w:val="18"/>
                <w:szCs w:val="18"/>
                <w:b w:val="1"/>
                <w:bCs w:val="1"/>
                <w:color w:val="auto"/>
                <w:w w:val="89"/>
              </w:rPr>
              <w:t>Index</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960" w:type="dxa"/>
            <w:vAlign w:val="bottom"/>
            <w:gridSpan w:val="4"/>
            <w:vMerge w:val="restart"/>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Report of independent registered public accounting firm</w:t>
              </w:r>
            </w:hyperlink>
          </w:p>
        </w:tc>
        <w:tc>
          <w:tcPr>
            <w:tcW w:w="4840" w:type="dxa"/>
            <w:vAlign w:val="bottom"/>
            <w:gridSpan w:val="5"/>
            <w:vMerge w:val="restart"/>
          </w:tcPr>
          <w:p>
            <w:pPr>
              <w:spacing w:after="0"/>
              <w:rPr>
                <w:sz w:val="24"/>
                <w:szCs w:val="24"/>
                <w:color w:val="auto"/>
              </w:rPr>
            </w:pPr>
          </w:p>
        </w:tc>
        <w:tc>
          <w:tcPr>
            <w:tcW w:w="3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960" w:type="dxa"/>
            <w:vAlign w:val="bottom"/>
            <w:tcBorders>
              <w:bottom w:val="single" w:sz="8" w:color="0000EE"/>
            </w:tcBorders>
            <w:gridSpan w:val="4"/>
            <w:vMerge w:val="continue"/>
          </w:tcPr>
          <w:p>
            <w:pPr>
              <w:spacing w:after="0"/>
              <w:rPr>
                <w:sz w:val="14"/>
                <w:szCs w:val="14"/>
                <w:color w:val="auto"/>
              </w:rPr>
            </w:pPr>
          </w:p>
        </w:tc>
        <w:tc>
          <w:tcPr>
            <w:tcW w:w="484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bottom w:val="single" w:sz="8" w:color="0000EE"/>
            </w:tcBorders>
          </w:tcPr>
          <w:p>
            <w:pPr>
              <w:spacing w:after="0" w:line="170"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F-1</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9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Report of independent registered public accounting firm</w:t>
              </w:r>
            </w:hyperlink>
          </w:p>
        </w:tc>
        <w:tc>
          <w:tcPr>
            <w:tcW w:w="484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0000EE"/>
            </w:tcBorders>
          </w:tcPr>
          <w:p>
            <w:pPr>
              <w:spacing w:after="0"/>
              <w:rPr>
                <w:rFonts w:ascii="Arial" w:cs="Arial" w:eastAsia="Arial" w:hAnsi="Arial"/>
                <w:sz w:val="18"/>
                <w:szCs w:val="18"/>
                <w:color w:val="0000EE"/>
                <w:w w:val="88"/>
              </w:rPr>
            </w:pPr>
            <w:hyperlink w:anchor="page58">
              <w:r>
                <w:rPr>
                  <w:rFonts w:ascii="Arial" w:cs="Arial" w:eastAsia="Arial" w:hAnsi="Arial"/>
                  <w:sz w:val="18"/>
                  <w:szCs w:val="18"/>
                  <w:color w:val="0000EE"/>
                  <w:w w:val="88"/>
                </w:rPr>
                <w:t>F-2</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0" w:type="dxa"/>
            <w:vAlign w:val="bottom"/>
            <w:gridSpan w:val="9"/>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Consolidated Balance Sheets at January 1, 2011 and January 2, 2010</w:t>
              </w:r>
            </w:hyperlink>
          </w:p>
        </w:tc>
        <w:tc>
          <w:tcPr>
            <w:tcW w:w="40" w:type="dxa"/>
            <w:vAlign w:val="bottom"/>
          </w:tcPr>
          <w:p>
            <w:pPr>
              <w:spacing w:after="0"/>
              <w:rPr>
                <w:sz w:val="24"/>
                <w:szCs w:val="24"/>
                <w:color w:val="auto"/>
              </w:rPr>
            </w:pPr>
          </w:p>
        </w:tc>
        <w:tc>
          <w:tcPr>
            <w:tcW w:w="300" w:type="dxa"/>
            <w:vAlign w:val="bottom"/>
            <w:gridSpan w:val="2"/>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F-3</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60">
              <w:r>
                <w:rPr>
                  <w:rFonts w:ascii="Arial" w:cs="Arial" w:eastAsia="Arial" w:hAnsi="Arial"/>
                  <w:sz w:val="18"/>
                  <w:szCs w:val="18"/>
                  <w:color w:val="0000EE"/>
                  <w:w w:val="86"/>
                </w:rPr>
                <w:t>Consolidated Statements of Income for the fiscal years ended January 1, 2011, January 2, 2010 and January 3, 2009</w:t>
              </w:r>
            </w:hyperlink>
          </w:p>
        </w:tc>
        <w:tc>
          <w:tcPr>
            <w:tcW w:w="66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0000EE"/>
            </w:tcBorders>
          </w:tcPr>
          <w:p>
            <w:pPr>
              <w:spacing w:after="0"/>
              <w:rPr>
                <w:rFonts w:ascii="Arial" w:cs="Arial" w:eastAsia="Arial" w:hAnsi="Arial"/>
                <w:sz w:val="18"/>
                <w:szCs w:val="18"/>
                <w:color w:val="0000EE"/>
                <w:w w:val="88"/>
              </w:rPr>
            </w:pPr>
            <w:hyperlink w:anchor="page60">
              <w:r>
                <w:rPr>
                  <w:rFonts w:ascii="Arial" w:cs="Arial" w:eastAsia="Arial" w:hAnsi="Arial"/>
                  <w:sz w:val="18"/>
                  <w:szCs w:val="18"/>
                  <w:color w:val="0000EE"/>
                  <w:w w:val="88"/>
                </w:rPr>
                <w:t>F-4</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6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61">
              <w:r>
                <w:rPr>
                  <w:rFonts w:ascii="Arial" w:cs="Arial" w:eastAsia="Arial" w:hAnsi="Arial"/>
                  <w:sz w:val="18"/>
                  <w:szCs w:val="18"/>
                  <w:color w:val="0000EE"/>
                  <w:w w:val="87"/>
                </w:rPr>
                <w:t>Consolidated Statements of Changes in Stockholders' Equity for the fiscal years ended January 1, 2011, January 2, 2010</w:t>
              </w:r>
            </w:hyperlink>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20" w:type="dxa"/>
            <w:vAlign w:val="bottom"/>
            <w:gridSpan w:val="8"/>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and January 3, 2009</w:t>
              </w:r>
            </w:hyperlink>
          </w:p>
        </w:tc>
        <w:tc>
          <w:tcPr>
            <w:tcW w:w="40" w:type="dxa"/>
            <w:vAlign w:val="bottom"/>
          </w:tcPr>
          <w:p>
            <w:pPr>
              <w:spacing w:after="0"/>
              <w:rPr>
                <w:sz w:val="17"/>
                <w:szCs w:val="17"/>
                <w:color w:val="auto"/>
              </w:rPr>
            </w:pPr>
          </w:p>
        </w:tc>
        <w:tc>
          <w:tcPr>
            <w:tcW w:w="300" w:type="dxa"/>
            <w:vAlign w:val="bottom"/>
            <w:gridSpan w:val="2"/>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F-5</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36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62">
              <w:r>
                <w:rPr>
                  <w:rFonts w:ascii="Arial" w:cs="Arial" w:eastAsia="Arial" w:hAnsi="Arial"/>
                  <w:sz w:val="18"/>
                  <w:szCs w:val="18"/>
                  <w:color w:val="0000EE"/>
                  <w:w w:val="86"/>
                </w:rPr>
                <w:t>Consolidated Statements of Cash Flows for the fiscal years ended January 1, 2011, January 2, 2010 and January 3, 2009</w:t>
              </w:r>
            </w:hyperlink>
          </w:p>
        </w:tc>
        <w:tc>
          <w:tcPr>
            <w:tcW w:w="3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0000EE"/>
            </w:tcBorders>
          </w:tcPr>
          <w:p>
            <w:pPr>
              <w:spacing w:after="0"/>
              <w:rPr>
                <w:rFonts w:ascii="Arial" w:cs="Arial" w:eastAsia="Arial" w:hAnsi="Arial"/>
                <w:sz w:val="18"/>
                <w:szCs w:val="18"/>
                <w:color w:val="0000EE"/>
                <w:w w:val="88"/>
              </w:rPr>
            </w:pPr>
            <w:hyperlink w:anchor="page62">
              <w:r>
                <w:rPr>
                  <w:rFonts w:ascii="Arial" w:cs="Arial" w:eastAsia="Arial" w:hAnsi="Arial"/>
                  <w:sz w:val="18"/>
                  <w:szCs w:val="18"/>
                  <w:color w:val="0000EE"/>
                  <w:w w:val="88"/>
                </w:rPr>
                <w:t>F-6</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0" w:type="dxa"/>
            <w:vAlign w:val="bottom"/>
            <w:gridSpan w:val="9"/>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Notes to Consolidated Financial Statements</w:t>
              </w:r>
            </w:hyperlink>
          </w:p>
        </w:tc>
        <w:tc>
          <w:tcPr>
            <w:tcW w:w="40" w:type="dxa"/>
            <w:vAlign w:val="bottom"/>
          </w:tcPr>
          <w:p>
            <w:pPr>
              <w:spacing w:after="0"/>
              <w:rPr>
                <w:sz w:val="24"/>
                <w:szCs w:val="24"/>
                <w:color w:val="auto"/>
              </w:rPr>
            </w:pPr>
          </w:p>
        </w:tc>
        <w:tc>
          <w:tcPr>
            <w:tcW w:w="300" w:type="dxa"/>
            <w:vAlign w:val="bottom"/>
            <w:gridSpan w:val="2"/>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F-7</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line="20" w:lineRule="exact"/>
              <w:rPr>
                <w:sz w:val="1"/>
                <w:szCs w:val="1"/>
                <w:color w:val="auto"/>
              </w:rPr>
            </w:pPr>
          </w:p>
        </w:tc>
        <w:tc>
          <w:tcPr>
            <w:tcW w:w="3080" w:type="dxa"/>
            <w:vAlign w:val="bottom"/>
            <w:gridSpan w:val="3"/>
            <w:shd w:val="clear" w:color="auto" w:fill="0000EE"/>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38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9180" w:type="dxa"/>
            <w:vAlign w:val="bottom"/>
            <w:gridSpan w:val="10"/>
          </w:tcPr>
          <w:p>
            <w:pPr>
              <w:ind w:left="320"/>
              <w:spacing w:after="0"/>
              <w:rPr>
                <w:sz w:val="20"/>
                <w:szCs w:val="20"/>
                <w:color w:val="auto"/>
              </w:rPr>
            </w:pPr>
            <w:r>
              <w:rPr>
                <w:rFonts w:ascii="Arial" w:cs="Arial" w:eastAsia="Arial" w:hAnsi="Arial"/>
                <w:sz w:val="18"/>
                <w:szCs w:val="18"/>
                <w:color w:val="auto"/>
              </w:rPr>
              <w:t>Schedules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40" w:right="300" w:firstLine="341"/>
        <w:spacing w:after="0" w:line="332" w:lineRule="auto"/>
        <w:rPr>
          <w:sz w:val="20"/>
          <w:szCs w:val="20"/>
          <w:color w:val="auto"/>
        </w:rPr>
      </w:pPr>
      <w:r>
        <w:rPr>
          <w:rFonts w:ascii="Arial" w:cs="Arial" w:eastAsia="Arial" w:hAnsi="Arial"/>
          <w:sz w:val="16"/>
          <w:szCs w:val="16"/>
          <w:color w:val="auto"/>
        </w:rPr>
        <w:t>All schedules have been omitted since the information required by the schedule is not applicable, or is not present in amounts sufficient to require submission of the schedule, or because the information required is included in the Consolidated Financial Statements and notes thereto.</w:t>
      </w:r>
    </w:p>
    <w:p>
      <w:pPr>
        <w:spacing w:after="0" w:line="153"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540" w:firstLine="348"/>
        <w:spacing w:after="0" w:line="268" w:lineRule="auto"/>
        <w:rPr>
          <w:sz w:val="20"/>
          <w:szCs w:val="20"/>
          <w:color w:val="auto"/>
        </w:rPr>
      </w:pPr>
      <w:r>
        <w:rPr>
          <w:rFonts w:ascii="Arial" w:cs="Arial" w:eastAsia="Arial" w:hAnsi="Arial"/>
          <w:sz w:val="18"/>
          <w:szCs w:val="18"/>
          <w:color w:val="auto"/>
        </w:rPr>
        <w:t>The exhibits listed on the accompanying index to exhibits immediately following the Consolidated Financial Statements are filed as part of, or hereby incorporated by reference into, this Form 10-K.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-7620</wp:posOffset>
            </wp:positionV>
            <wp:extent cx="4629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ind w:left="2200" w:right="19" w:hanging="543"/>
        <w:spacing w:after="0" w:line="254" w:lineRule="auto"/>
        <w:tabs>
          <w:tab w:leader="none" w:pos="2180" w:val="left"/>
        </w:tabs>
        <w:rPr>
          <w:sz w:val="20"/>
          <w:szCs w:val="20"/>
          <w:color w:val="auto"/>
        </w:rPr>
      </w:pPr>
      <w:r>
        <w:rPr>
          <w:rFonts w:ascii="Arial" w:cs="Arial" w:eastAsia="Arial" w:hAnsi="Arial"/>
          <w:sz w:val="18"/>
          <w:szCs w:val="18"/>
          <w:color w:val="auto"/>
        </w:rPr>
        <w:t>2.1*</w:t>
        <w:tab/>
        <w:t>Agreement and Plan of Merger, dated January 22, 2011, by and among Silicon Laboratories Inc., Sophia Merger Sub, Inc., Spectra Linear, Inc. and Shareholder Representative Services LLC (filed as Exhibit 2.1 to the Form 8-K filed January 26, 2011).</w:t>
      </w:r>
    </w:p>
    <w:p>
      <w:pPr>
        <w:spacing w:after="0" w:line="199" w:lineRule="exact"/>
        <w:rPr>
          <w:sz w:val="20"/>
          <w:szCs w:val="20"/>
          <w:color w:val="auto"/>
        </w:rPr>
      </w:pPr>
    </w:p>
    <w:p>
      <w:pPr>
        <w:ind w:left="2200" w:right="279" w:hanging="543"/>
        <w:spacing w:after="0" w:line="259" w:lineRule="auto"/>
        <w:tabs>
          <w:tab w:leader="none" w:pos="2180" w:val="left"/>
        </w:tabs>
        <w:rPr>
          <w:sz w:val="20"/>
          <w:szCs w:val="20"/>
          <w:color w:val="auto"/>
        </w:rPr>
      </w:pPr>
      <w:r>
        <w:rPr>
          <w:rFonts w:ascii="Arial" w:cs="Arial" w:eastAsia="Arial" w:hAnsi="Arial"/>
          <w:sz w:val="18"/>
          <w:szCs w:val="18"/>
          <w:color w:val="auto"/>
        </w:rPr>
        <w:t>3.1*</w:t>
        <w:tab/>
        <w:t>Form of Fourth Amended and Restated Certificate of Incorporation of Silicon Laboratories Inc. (filed as Exhibit 3.1 to the Registrant's Registration Statement on Form S-1 (Securities and Exchange Commission File No. 333-94853) (the "IPO Registration Statement")).</w:t>
      </w:r>
    </w:p>
    <w:p>
      <w:pPr>
        <w:spacing w:after="0" w:line="194" w:lineRule="exact"/>
        <w:rPr>
          <w:sz w:val="20"/>
          <w:szCs w:val="20"/>
          <w:color w:val="auto"/>
        </w:rPr>
      </w:pPr>
    </w:p>
    <w:p>
      <w:pPr>
        <w:ind w:left="2200" w:right="19" w:hanging="543"/>
        <w:spacing w:after="0" w:line="268" w:lineRule="auto"/>
        <w:tabs>
          <w:tab w:leader="none" w:pos="2180" w:val="left"/>
        </w:tabs>
        <w:rPr>
          <w:sz w:val="20"/>
          <w:szCs w:val="20"/>
          <w:color w:val="auto"/>
        </w:rPr>
      </w:pPr>
      <w:r>
        <w:rPr>
          <w:rFonts w:ascii="Arial" w:cs="Arial" w:eastAsia="Arial" w:hAnsi="Arial"/>
          <w:sz w:val="18"/>
          <w:szCs w:val="18"/>
          <w:color w:val="auto"/>
        </w:rPr>
        <w:t>3.2*</w:t>
        <w:tab/>
        <w:t>Second Amended and Restated Bylaws of Silicon Laboratories Inc (filed as Exhibit 3.2 to the Registrant's Annual Report on Form 10-K for the fiscal year ended January 3, 2004).</w:t>
      </w:r>
    </w:p>
    <w:p>
      <w:pPr>
        <w:spacing w:after="0" w:line="186" w:lineRule="exact"/>
        <w:rPr>
          <w:sz w:val="20"/>
          <w:szCs w:val="20"/>
          <w:color w:val="auto"/>
        </w:rPr>
      </w:pPr>
    </w:p>
    <w:p>
      <w:pPr>
        <w:ind w:left="1660"/>
        <w:spacing w:after="0"/>
        <w:tabs>
          <w:tab w:leader="none" w:pos="21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certificate for shares of common stock (filed as Exhibit 4.1 to the IPO Registration Statement).</w:t>
      </w:r>
    </w:p>
    <w:p>
      <w:pPr>
        <w:spacing w:after="0" w:line="225" w:lineRule="exact"/>
        <w:rPr>
          <w:sz w:val="20"/>
          <w:szCs w:val="20"/>
          <w:color w:val="auto"/>
        </w:rPr>
      </w:pPr>
    </w:p>
    <w:p>
      <w:pPr>
        <w:ind w:left="2200" w:right="299" w:hanging="630"/>
        <w:spacing w:after="0" w:line="268" w:lineRule="auto"/>
        <w:tabs>
          <w:tab w:leader="none" w:pos="2180" w:val="left"/>
        </w:tabs>
        <w:rPr>
          <w:sz w:val="20"/>
          <w:szCs w:val="20"/>
          <w:color w:val="auto"/>
        </w:rPr>
      </w:pPr>
      <w:r>
        <w:rPr>
          <w:rFonts w:ascii="Arial" w:cs="Arial" w:eastAsia="Arial" w:hAnsi="Arial"/>
          <w:sz w:val="18"/>
          <w:szCs w:val="18"/>
          <w:color w:val="auto"/>
        </w:rPr>
        <w:t>10.1*</w:t>
        <w:tab/>
        <w:t>Form of Indemnification Agreement between Silicon Laboratories Inc. and each of its directors and executive officers (filed as Exhibit 10.1 to the IPO Registration Statement).</w:t>
      </w:r>
    </w:p>
    <w:p>
      <w:pPr>
        <w:spacing w:after="0" w:line="186" w:lineRule="exact"/>
        <w:rPr>
          <w:sz w:val="20"/>
          <w:szCs w:val="20"/>
          <w:color w:val="auto"/>
        </w:rPr>
      </w:pPr>
    </w:p>
    <w:p>
      <w:pPr>
        <w:jc w:val="both"/>
        <w:ind w:left="2200" w:right="439" w:hanging="630"/>
        <w:spacing w:after="0" w:line="370" w:lineRule="auto"/>
        <w:rPr>
          <w:sz w:val="20"/>
          <w:szCs w:val="20"/>
          <w:color w:val="auto"/>
        </w:rPr>
      </w:pPr>
      <w:r>
        <w:rPr>
          <w:rFonts w:ascii="Arial" w:cs="Arial" w:eastAsia="Arial" w:hAnsi="Arial"/>
          <w:sz w:val="15"/>
          <w:szCs w:val="15"/>
          <w:color w:val="auto"/>
        </w:rPr>
        <w:t>10.2*+ Silicon Laboratories Inc. 2000 Stock Incentive Plan (filed as Exhibit 99.1 to the Registrant's Registration Statement on Form S-8 (Securities and Exchange Commission File No. 333-60794) filed on May 11, 2001).</w:t>
      </w:r>
    </w:p>
    <w:p>
      <w:pPr>
        <w:spacing w:after="0" w:line="116" w:lineRule="exact"/>
        <w:rPr>
          <w:sz w:val="20"/>
          <w:szCs w:val="20"/>
          <w:color w:val="auto"/>
        </w:rPr>
      </w:pPr>
    </w:p>
    <w:p>
      <w:pPr>
        <w:jc w:val="right"/>
        <w:ind w:left="1580" w:right="159"/>
        <w:spacing w:after="0" w:line="332" w:lineRule="auto"/>
        <w:rPr>
          <w:sz w:val="20"/>
          <w:szCs w:val="20"/>
          <w:color w:val="auto"/>
        </w:rPr>
      </w:pPr>
      <w:r>
        <w:rPr>
          <w:rFonts w:ascii="Arial" w:cs="Arial" w:eastAsia="Arial" w:hAnsi="Arial"/>
          <w:sz w:val="16"/>
          <w:szCs w:val="16"/>
          <w:color w:val="auto"/>
        </w:rPr>
        <w:t>10.3*+  Form of Stock Option Agreement and Notice of Grant of Stock Option under Registrant's 2000 Stock Incentive Plan (filed as Exhibit 10.3 to the Registrant's Annual Report on Form 10-K for the year ended January 1, 2005).</w:t>
      </w:r>
    </w:p>
    <w:p>
      <w:pPr>
        <w:spacing w:after="0" w:line="139" w:lineRule="exact"/>
        <w:rPr>
          <w:sz w:val="20"/>
          <w:szCs w:val="20"/>
          <w:color w:val="auto"/>
        </w:rPr>
      </w:pPr>
    </w:p>
    <w:p>
      <w:pPr>
        <w:ind w:left="2200" w:right="819" w:hanging="630"/>
        <w:spacing w:after="0" w:line="332" w:lineRule="auto"/>
        <w:rPr>
          <w:sz w:val="20"/>
          <w:szCs w:val="20"/>
          <w:color w:val="auto"/>
        </w:rPr>
      </w:pPr>
      <w:r>
        <w:rPr>
          <w:rFonts w:ascii="Arial" w:cs="Arial" w:eastAsia="Arial" w:hAnsi="Arial"/>
          <w:sz w:val="16"/>
          <w:szCs w:val="16"/>
          <w:color w:val="auto"/>
        </w:rPr>
        <w:t>10.4*+ Form of Addendum to Stock Option Agreement under Registrant's 2000 Stock Incentive Plan (filed as Exhibit 10.4 to the Registrant's Annual Report on Form 10-K for the year ended January 1, 2005).</w:t>
      </w:r>
    </w:p>
    <w:p>
      <w:pPr>
        <w:spacing w:after="0" w:line="139" w:lineRule="exact"/>
        <w:rPr>
          <w:sz w:val="20"/>
          <w:szCs w:val="20"/>
          <w:color w:val="auto"/>
        </w:rPr>
      </w:pPr>
    </w:p>
    <w:p>
      <w:pPr>
        <w:ind w:left="2200" w:right="359" w:hanging="630"/>
        <w:spacing w:after="0" w:line="332" w:lineRule="auto"/>
        <w:rPr>
          <w:sz w:val="20"/>
          <w:szCs w:val="20"/>
          <w:color w:val="auto"/>
        </w:rPr>
      </w:pPr>
      <w:r>
        <w:rPr>
          <w:rFonts w:ascii="Arial" w:cs="Arial" w:eastAsia="Arial" w:hAnsi="Arial"/>
          <w:sz w:val="16"/>
          <w:szCs w:val="16"/>
          <w:color w:val="auto"/>
        </w:rPr>
        <w:t>10.5*+ Form of Stock Issuance Agreement under Registrant's 2000 Stock Incentive Plan (filed as Exhibit 10.5 to the Registrant's Annual Report on Form 10-K for the year ended January 1, 2005).</w:t>
      </w:r>
    </w:p>
    <w:p>
      <w:pPr>
        <w:spacing w:after="0" w:line="139" w:lineRule="exact"/>
        <w:rPr>
          <w:sz w:val="20"/>
          <w:szCs w:val="20"/>
          <w:color w:val="auto"/>
        </w:rPr>
      </w:pPr>
    </w:p>
    <w:p>
      <w:pPr>
        <w:ind w:left="2200" w:right="719" w:hanging="630"/>
        <w:spacing w:after="0" w:line="332" w:lineRule="auto"/>
        <w:rPr>
          <w:sz w:val="20"/>
          <w:szCs w:val="20"/>
          <w:color w:val="auto"/>
        </w:rPr>
      </w:pPr>
      <w:r>
        <w:rPr>
          <w:rFonts w:ascii="Arial" w:cs="Arial" w:eastAsia="Arial" w:hAnsi="Arial"/>
          <w:sz w:val="16"/>
          <w:szCs w:val="16"/>
          <w:color w:val="auto"/>
        </w:rPr>
        <w:t>10.6*+ Form of Addendum to Stock Issuance Agreement under Registrant's 2000 Stock Incentive Plan (filed as Exhibit 10.6 to the Registrant's Annual Report on Form 10-K for the year ended January 1, 2005).</w:t>
      </w:r>
    </w:p>
    <w:p>
      <w:pPr>
        <w:spacing w:after="0" w:line="139" w:lineRule="exact"/>
        <w:rPr>
          <w:sz w:val="20"/>
          <w:szCs w:val="20"/>
          <w:color w:val="auto"/>
        </w:rPr>
      </w:pPr>
    </w:p>
    <w:p>
      <w:pPr>
        <w:ind w:left="2200" w:right="19" w:hanging="630"/>
        <w:spacing w:after="0" w:line="268" w:lineRule="auto"/>
        <w:rPr>
          <w:sz w:val="20"/>
          <w:szCs w:val="20"/>
          <w:color w:val="auto"/>
        </w:rPr>
      </w:pPr>
      <w:r>
        <w:rPr>
          <w:rFonts w:ascii="Arial" w:cs="Arial" w:eastAsia="Arial" w:hAnsi="Arial"/>
          <w:sz w:val="18"/>
          <w:szCs w:val="18"/>
          <w:color w:val="auto"/>
        </w:rPr>
        <w:t>10.7*+ Employment Agreement dated August 30, 2005 between Silicon Laboratories Inc. and Dr. Necip Sayiner (filed as Exhibit 10.1 to the Form 8-K filed September 12, 2005).</w:t>
      </w:r>
    </w:p>
    <w:p>
      <w:pPr>
        <w:spacing w:after="0" w:line="186" w:lineRule="exact"/>
        <w:rPr>
          <w:sz w:val="20"/>
          <w:szCs w:val="20"/>
          <w:color w:val="auto"/>
        </w:rPr>
      </w:pPr>
    </w:p>
    <w:p>
      <w:pPr>
        <w:ind w:left="2200" w:right="159" w:hanging="630"/>
        <w:spacing w:after="0" w:line="268" w:lineRule="auto"/>
        <w:rPr>
          <w:sz w:val="20"/>
          <w:szCs w:val="20"/>
          <w:color w:val="auto"/>
        </w:rPr>
      </w:pPr>
      <w:r>
        <w:rPr>
          <w:rFonts w:ascii="Arial" w:cs="Arial" w:eastAsia="Arial" w:hAnsi="Arial"/>
          <w:sz w:val="18"/>
          <w:szCs w:val="18"/>
          <w:color w:val="auto"/>
        </w:rPr>
        <w:t>10.8*+ Employment Agreement dated November 3, 2006 between Silicon Laboratories Inc. and William Bock (filed as Exhibit 10.1 to the Form 8-K filed November 8, 2006).</w:t>
      </w:r>
    </w:p>
    <w:p>
      <w:pPr>
        <w:spacing w:after="0" w:line="186" w:lineRule="exact"/>
        <w:rPr>
          <w:sz w:val="20"/>
          <w:szCs w:val="20"/>
          <w:color w:val="auto"/>
        </w:rPr>
      </w:pPr>
    </w:p>
    <w:p>
      <w:pPr>
        <w:jc w:val="both"/>
        <w:ind w:left="2200" w:right="439" w:hanging="630"/>
        <w:spacing w:after="0" w:line="259" w:lineRule="auto"/>
        <w:tabs>
          <w:tab w:leader="none" w:pos="2180" w:val="left"/>
        </w:tabs>
        <w:rPr>
          <w:sz w:val="20"/>
          <w:szCs w:val="20"/>
          <w:color w:val="auto"/>
        </w:rPr>
      </w:pPr>
      <w:r>
        <w:rPr>
          <w:rFonts w:ascii="Arial" w:cs="Arial" w:eastAsia="Arial" w:hAnsi="Arial"/>
          <w:sz w:val="18"/>
          <w:szCs w:val="18"/>
          <w:color w:val="auto"/>
        </w:rPr>
        <w:t>10.9*</w:t>
        <w:tab/>
        <w:t>Lease, Deed of Trust and Security Agreement dated March 30, 2006 among Silicon Laboratories Inc., BAL Investment &amp; Advisory, Inc. and Gary S. Farmer (filed as Exhibit 10.1 to the Registrant's Current Report on Form 8-K filed on April 5, 2006).</w:t>
      </w:r>
    </w:p>
    <w:p>
      <w:pPr>
        <w:spacing w:after="0" w:line="194" w:lineRule="exact"/>
        <w:rPr>
          <w:sz w:val="20"/>
          <w:szCs w:val="20"/>
          <w:color w:val="auto"/>
        </w:rPr>
      </w:pPr>
    </w:p>
    <w:p>
      <w:pPr>
        <w:ind w:left="1480"/>
        <w:spacing w:after="0"/>
        <w:tabs>
          <w:tab w:leader="none" w:pos="21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Participation Agreement dated March 30, 2006 among Silicon Laboratories Inc., BAL Investment &amp;</w:t>
      </w:r>
    </w:p>
    <w:p>
      <w:pPr>
        <w:spacing w:after="0" w:line="15"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Advisory, Inc., Wells Fargo Bank Northwest, National Association and various other financial institutions named</w:t>
      </w:r>
    </w:p>
    <w:p>
      <w:pPr>
        <w:spacing w:after="0" w:line="32"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therein (filed as Exhibit 10.2 to the Registrant's Current Report on Form 8-K filed on April 5, 2006).</w:t>
      </w:r>
    </w:p>
    <w:p>
      <w:pPr>
        <w:spacing w:after="0" w:line="200" w:lineRule="exact"/>
        <w:rPr>
          <w:sz w:val="20"/>
          <w:szCs w:val="20"/>
          <w:color w:val="auto"/>
        </w:rPr>
      </w:pP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Exhibit</w:t>
      </w:r>
    </w:p>
    <w:p>
      <w:pPr>
        <w:ind w:left="1280"/>
        <w:spacing w:after="0" w:line="221" w:lineRule="auto"/>
        <w:rPr>
          <w:sz w:val="20"/>
          <w:szCs w:val="20"/>
          <w:color w:val="auto"/>
        </w:rPr>
      </w:pPr>
      <w:r>
        <w:rPr>
          <w:rFonts w:ascii="Arial" w:cs="Arial" w:eastAsia="Arial" w:hAnsi="Arial"/>
          <w:sz w:val="14"/>
          <w:szCs w:val="14"/>
          <w:b w:val="1"/>
          <w:bCs w:val="1"/>
          <w:color w:val="auto"/>
        </w:rPr>
        <w:t>Number</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r>
        <w:trPr>
          <w:trHeight w:val="181"/>
        </w:trPr>
        <w:tc>
          <w:tcPr>
            <w:tcW w:w="1160" w:type="dxa"/>
            <w:vAlign w:val="bottom"/>
          </w:tcPr>
          <w:p>
            <w:pPr>
              <w:spacing w:after="0"/>
              <w:rPr>
                <w:sz w:val="15"/>
                <w:szCs w:val="15"/>
                <w:color w:val="auto"/>
              </w:rPr>
            </w:pPr>
          </w:p>
        </w:tc>
        <w:tc>
          <w:tcPr>
            <w:tcW w:w="100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10.11*</w:t>
            </w:r>
          </w:p>
        </w:tc>
        <w:tc>
          <w:tcPr>
            <w:tcW w:w="9260" w:type="dxa"/>
            <w:vAlign w:val="bottom"/>
          </w:tcPr>
          <w:p>
            <w:pPr>
              <w:ind w:left="60"/>
              <w:spacing w:after="0" w:line="182" w:lineRule="exact"/>
              <w:rPr>
                <w:sz w:val="20"/>
                <w:szCs w:val="20"/>
                <w:color w:val="auto"/>
              </w:rPr>
            </w:pPr>
            <w:r>
              <w:rPr>
                <w:rFonts w:ascii="Arial" w:cs="Arial" w:eastAsia="Arial" w:hAnsi="Arial"/>
                <w:sz w:val="18"/>
                <w:szCs w:val="18"/>
                <w:color w:val="auto"/>
              </w:rPr>
              <w:t>Sale and Purchase Agreement dated February 8, 2007 by and between NXP B.V., NXP Semiconductors France</w:t>
            </w:r>
          </w:p>
        </w:tc>
      </w:tr>
      <w:tr>
        <w:trPr>
          <w:trHeight w:val="216"/>
        </w:trPr>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rPr>
              <w:t>SAS, Silicon Laboratories Inc. and Silicon Laboratories International Pte. Ltd. (filed as Exhibit 10.1 to the</w:t>
            </w:r>
          </w:p>
        </w:tc>
      </w:tr>
      <w:tr>
        <w:trPr>
          <w:trHeight w:val="222"/>
        </w:trPr>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rPr>
              <w:t>Registrant's Current Report on Form 8-K filed on February 9, 2007).</w:t>
            </w:r>
          </w:p>
        </w:tc>
      </w:tr>
      <w:tr>
        <w:trPr>
          <w:trHeight w:val="426"/>
        </w:trPr>
        <w:tc>
          <w:tcPr>
            <w:tcW w:w="2160" w:type="dxa"/>
            <w:vAlign w:val="bottom"/>
            <w:gridSpan w:val="3"/>
          </w:tcPr>
          <w:p>
            <w:pPr>
              <w:jc w:val="right"/>
              <w:ind w:right="160"/>
              <w:spacing w:after="0"/>
              <w:rPr>
                <w:sz w:val="20"/>
                <w:szCs w:val="20"/>
                <w:color w:val="auto"/>
              </w:rPr>
            </w:pPr>
            <w:r>
              <w:rPr>
                <w:rFonts w:ascii="Arial" w:cs="Arial" w:eastAsia="Arial" w:hAnsi="Arial"/>
                <w:sz w:val="18"/>
                <w:szCs w:val="18"/>
                <w:color w:val="auto"/>
              </w:rPr>
              <w:t>10.12*</w:t>
            </w:r>
          </w:p>
        </w:tc>
        <w:tc>
          <w:tcPr>
            <w:tcW w:w="9260" w:type="dxa"/>
            <w:vAlign w:val="bottom"/>
          </w:tcPr>
          <w:p>
            <w:pPr>
              <w:ind w:left="60"/>
              <w:spacing w:after="0"/>
              <w:rPr>
                <w:sz w:val="20"/>
                <w:szCs w:val="20"/>
                <w:color w:val="auto"/>
              </w:rPr>
            </w:pPr>
            <w:r>
              <w:rPr>
                <w:rFonts w:ascii="Arial" w:cs="Arial" w:eastAsia="Arial" w:hAnsi="Arial"/>
                <w:sz w:val="18"/>
                <w:szCs w:val="18"/>
                <w:color w:val="auto"/>
              </w:rPr>
              <w:t>Intellectual Property License Agreement dated as of March 23, 2007, by and among Silicon Laboratories Inc.,</w:t>
            </w:r>
          </w:p>
        </w:tc>
      </w:tr>
      <w:tr>
        <w:trPr>
          <w:trHeight w:val="216"/>
        </w:trPr>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rPr>
              <w:t>Silicon Laboratories International Pte. Ltd., NXP B.V. and NXP Semiconductors France SAS (filed as</w:t>
            </w:r>
          </w:p>
        </w:tc>
      </w:tr>
      <w:tr>
        <w:trPr>
          <w:trHeight w:val="222"/>
        </w:trPr>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rPr>
              <w:t>Exhibit 10.1 to the Registrant's Current Report on Form 8-K filed on March 29, 2007).</w:t>
            </w:r>
          </w:p>
        </w:tc>
      </w:tr>
      <w:tr>
        <w:trPr>
          <w:trHeight w:val="426"/>
        </w:trPr>
        <w:tc>
          <w:tcPr>
            <w:tcW w:w="2160" w:type="dxa"/>
            <w:vAlign w:val="bottom"/>
            <w:gridSpan w:val="3"/>
          </w:tcPr>
          <w:p>
            <w:pPr>
              <w:jc w:val="right"/>
              <w:ind w:right="60"/>
              <w:spacing w:after="0"/>
              <w:rPr>
                <w:sz w:val="20"/>
                <w:szCs w:val="20"/>
                <w:color w:val="auto"/>
              </w:rPr>
            </w:pPr>
            <w:r>
              <w:rPr>
                <w:rFonts w:ascii="Arial" w:cs="Arial" w:eastAsia="Arial" w:hAnsi="Arial"/>
                <w:sz w:val="18"/>
                <w:szCs w:val="18"/>
                <w:color w:val="auto"/>
              </w:rPr>
              <w:t>10.13*+</w:t>
            </w:r>
          </w:p>
        </w:tc>
        <w:tc>
          <w:tcPr>
            <w:tcW w:w="9260" w:type="dxa"/>
            <w:vAlign w:val="bottom"/>
          </w:tcPr>
          <w:p>
            <w:pPr>
              <w:ind w:left="60"/>
              <w:spacing w:after="0"/>
              <w:rPr>
                <w:sz w:val="20"/>
                <w:szCs w:val="20"/>
                <w:color w:val="auto"/>
              </w:rPr>
            </w:pPr>
            <w:r>
              <w:rPr>
                <w:rFonts w:ascii="Arial" w:cs="Arial" w:eastAsia="Arial" w:hAnsi="Arial"/>
                <w:sz w:val="18"/>
                <w:szCs w:val="18"/>
                <w:color w:val="auto"/>
              </w:rPr>
              <w:t>Amendment to Stock Options Agreement between Silicon Laboratories Inc. and William G. Bock dated July 19,</w:t>
            </w:r>
          </w:p>
        </w:tc>
      </w:tr>
      <w:tr>
        <w:trPr>
          <w:trHeight w:val="222"/>
        </w:trPr>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rPr>
              <w:t>2007 (filed as Exhibit 10.1 to the Registrant's Current Report on Form 8-K filed on July 20, 2007).</w:t>
            </w:r>
          </w:p>
        </w:tc>
      </w:tr>
      <w:tr>
        <w:trPr>
          <w:trHeight w:val="426"/>
        </w:trPr>
        <w:tc>
          <w:tcPr>
            <w:tcW w:w="2160" w:type="dxa"/>
            <w:vAlign w:val="bottom"/>
            <w:gridSpan w:val="3"/>
          </w:tcPr>
          <w:p>
            <w:pPr>
              <w:jc w:val="right"/>
              <w:ind w:right="160"/>
              <w:spacing w:after="0"/>
              <w:rPr>
                <w:sz w:val="20"/>
                <w:szCs w:val="20"/>
                <w:color w:val="auto"/>
              </w:rPr>
            </w:pPr>
            <w:r>
              <w:rPr>
                <w:rFonts w:ascii="Arial" w:cs="Arial" w:eastAsia="Arial" w:hAnsi="Arial"/>
                <w:sz w:val="18"/>
                <w:szCs w:val="18"/>
                <w:color w:val="auto"/>
              </w:rPr>
              <w:t>10.14*</w:t>
            </w:r>
          </w:p>
        </w:tc>
        <w:tc>
          <w:tcPr>
            <w:tcW w:w="9260" w:type="dxa"/>
            <w:vAlign w:val="bottom"/>
          </w:tcPr>
          <w:p>
            <w:pPr>
              <w:ind w:left="60"/>
              <w:spacing w:after="0"/>
              <w:rPr>
                <w:sz w:val="20"/>
                <w:szCs w:val="20"/>
                <w:color w:val="auto"/>
              </w:rPr>
            </w:pPr>
            <w:r>
              <w:rPr>
                <w:rFonts w:ascii="Arial" w:cs="Arial" w:eastAsia="Arial" w:hAnsi="Arial"/>
                <w:sz w:val="18"/>
                <w:szCs w:val="18"/>
                <w:color w:val="auto"/>
              </w:rPr>
              <w:t>Lease, Deed of Trust and Security Agreement dated March 14, 2008 among Silicon Laboratories Inc., BA Leasing</w:t>
            </w:r>
          </w:p>
        </w:tc>
      </w:tr>
      <w:tr>
        <w:trPr>
          <w:trHeight w:val="216"/>
        </w:trPr>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rPr>
              <w:t>BSC, LLC and Gary S. Farmer (filed as Exhibit 10.1 to the Registrant's Current Report on Form 8-K filed on</w:t>
            </w:r>
          </w:p>
        </w:tc>
      </w:tr>
      <w:tr>
        <w:trPr>
          <w:trHeight w:val="222"/>
        </w:trPr>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rPr>
              <w:t>March 19, 2008).</w:t>
            </w:r>
          </w:p>
        </w:tc>
      </w:tr>
      <w:tr>
        <w:trPr>
          <w:trHeight w:val="426"/>
        </w:trPr>
        <w:tc>
          <w:tcPr>
            <w:tcW w:w="2160" w:type="dxa"/>
            <w:vAlign w:val="bottom"/>
            <w:gridSpan w:val="3"/>
          </w:tcPr>
          <w:p>
            <w:pPr>
              <w:jc w:val="right"/>
              <w:ind w:right="160"/>
              <w:spacing w:after="0"/>
              <w:rPr>
                <w:sz w:val="20"/>
                <w:szCs w:val="20"/>
                <w:color w:val="auto"/>
              </w:rPr>
            </w:pPr>
            <w:r>
              <w:rPr>
                <w:rFonts w:ascii="Arial" w:cs="Arial" w:eastAsia="Arial" w:hAnsi="Arial"/>
                <w:sz w:val="18"/>
                <w:szCs w:val="18"/>
                <w:color w:val="auto"/>
              </w:rPr>
              <w:t>10.15*</w:t>
            </w:r>
          </w:p>
        </w:tc>
        <w:tc>
          <w:tcPr>
            <w:tcW w:w="9260" w:type="dxa"/>
            <w:vAlign w:val="bottom"/>
          </w:tcPr>
          <w:p>
            <w:pPr>
              <w:ind w:left="60"/>
              <w:spacing w:after="0"/>
              <w:rPr>
                <w:sz w:val="20"/>
                <w:szCs w:val="20"/>
                <w:color w:val="auto"/>
              </w:rPr>
            </w:pPr>
            <w:r>
              <w:rPr>
                <w:rFonts w:ascii="Arial" w:cs="Arial" w:eastAsia="Arial" w:hAnsi="Arial"/>
                <w:sz w:val="18"/>
                <w:szCs w:val="18"/>
                <w:color w:val="auto"/>
              </w:rPr>
              <w:t>Participation Agreement dated March 14, 2008 among Silicon Laboratories Inc., BA Leasing BSC, LLC, Wells</w:t>
            </w:r>
          </w:p>
        </w:tc>
      </w:tr>
      <w:tr>
        <w:trPr>
          <w:trHeight w:val="216"/>
        </w:trPr>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rPr>
              <w:t>Fargo Bank Northwest, National Association and various other financial institutions named therein (filed as</w:t>
            </w:r>
          </w:p>
        </w:tc>
      </w:tr>
      <w:tr>
        <w:trPr>
          <w:trHeight w:val="222"/>
        </w:trPr>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rPr>
              <w:t>Exhibit 10.2 to the Registrant's Current Report on Form 8-K filed on March 19, 2008).</w:t>
            </w:r>
          </w:p>
        </w:tc>
      </w:tr>
      <w:tr>
        <w:trPr>
          <w:trHeight w:val="426"/>
        </w:trPr>
        <w:tc>
          <w:tcPr>
            <w:tcW w:w="2160" w:type="dxa"/>
            <w:vAlign w:val="bottom"/>
            <w:gridSpan w:val="3"/>
          </w:tcPr>
          <w:p>
            <w:pPr>
              <w:jc w:val="right"/>
              <w:ind w:right="60"/>
              <w:spacing w:after="0"/>
              <w:rPr>
                <w:sz w:val="20"/>
                <w:szCs w:val="20"/>
                <w:color w:val="auto"/>
              </w:rPr>
            </w:pPr>
            <w:r>
              <w:rPr>
                <w:rFonts w:ascii="Arial" w:cs="Arial" w:eastAsia="Arial" w:hAnsi="Arial"/>
                <w:sz w:val="18"/>
                <w:szCs w:val="18"/>
                <w:color w:val="auto"/>
              </w:rPr>
              <w:t>10.16*+</w:t>
            </w:r>
          </w:p>
        </w:tc>
        <w:tc>
          <w:tcPr>
            <w:tcW w:w="9260" w:type="dxa"/>
            <w:vAlign w:val="bottom"/>
          </w:tcPr>
          <w:p>
            <w:pPr>
              <w:ind w:left="60"/>
              <w:spacing w:after="0"/>
              <w:rPr>
                <w:sz w:val="20"/>
                <w:szCs w:val="20"/>
                <w:color w:val="auto"/>
              </w:rPr>
            </w:pPr>
            <w:r>
              <w:rPr>
                <w:rFonts w:ascii="Arial" w:cs="Arial" w:eastAsia="Arial" w:hAnsi="Arial"/>
                <w:sz w:val="18"/>
                <w:szCs w:val="18"/>
                <w:color w:val="auto"/>
              </w:rPr>
              <w:t>Silicon Laboratories Inc. 2009 Stock Incentive Plan (filed as Exhibit 10.1 to the Registrant's Current Report on</w:t>
            </w:r>
          </w:p>
        </w:tc>
      </w:tr>
      <w:tr>
        <w:trPr>
          <w:trHeight w:val="222"/>
        </w:trPr>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rPr>
              <w:t>Form 8-K filed on April 27, 2009).</w:t>
            </w:r>
          </w:p>
        </w:tc>
      </w:tr>
      <w:tr>
        <w:trPr>
          <w:trHeight w:val="426"/>
        </w:trPr>
        <w:tc>
          <w:tcPr>
            <w:tcW w:w="2160" w:type="dxa"/>
            <w:vAlign w:val="bottom"/>
            <w:gridSpan w:val="3"/>
          </w:tcPr>
          <w:p>
            <w:pPr>
              <w:jc w:val="right"/>
              <w:ind w:right="60"/>
              <w:spacing w:after="0"/>
              <w:rPr>
                <w:sz w:val="20"/>
                <w:szCs w:val="20"/>
                <w:color w:val="auto"/>
              </w:rPr>
            </w:pPr>
            <w:r>
              <w:rPr>
                <w:rFonts w:ascii="Arial" w:cs="Arial" w:eastAsia="Arial" w:hAnsi="Arial"/>
                <w:sz w:val="18"/>
                <w:szCs w:val="18"/>
                <w:color w:val="auto"/>
              </w:rPr>
              <w:t>10.17*+</w:t>
            </w:r>
          </w:p>
        </w:tc>
        <w:tc>
          <w:tcPr>
            <w:tcW w:w="9260" w:type="dxa"/>
            <w:vAlign w:val="bottom"/>
          </w:tcPr>
          <w:p>
            <w:pPr>
              <w:ind w:left="60"/>
              <w:spacing w:after="0"/>
              <w:rPr>
                <w:sz w:val="20"/>
                <w:szCs w:val="20"/>
                <w:color w:val="auto"/>
              </w:rPr>
            </w:pPr>
            <w:r>
              <w:rPr>
                <w:rFonts w:ascii="Arial" w:cs="Arial" w:eastAsia="Arial" w:hAnsi="Arial"/>
                <w:sz w:val="18"/>
                <w:szCs w:val="18"/>
                <w:color w:val="auto"/>
              </w:rPr>
              <w:t>Silicon Laboratories Inc. 2009 Employee Stock Purchase Plan (filed as Exhibit 10.2 to the Registrant's Current</w:t>
            </w:r>
          </w:p>
        </w:tc>
      </w:tr>
      <w:tr>
        <w:trPr>
          <w:trHeight w:val="222"/>
        </w:trPr>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rPr>
              <w:t>Report on Form 8-K filed on April 27, 2009).</w:t>
            </w:r>
          </w:p>
        </w:tc>
      </w:tr>
      <w:tr>
        <w:trPr>
          <w:trHeight w:val="426"/>
        </w:trPr>
        <w:tc>
          <w:tcPr>
            <w:tcW w:w="2160" w:type="dxa"/>
            <w:vAlign w:val="bottom"/>
            <w:gridSpan w:val="3"/>
          </w:tcPr>
          <w:p>
            <w:pPr>
              <w:jc w:val="right"/>
              <w:ind w:right="60"/>
              <w:spacing w:after="0"/>
              <w:rPr>
                <w:sz w:val="20"/>
                <w:szCs w:val="20"/>
                <w:color w:val="auto"/>
              </w:rPr>
            </w:pPr>
            <w:r>
              <w:rPr>
                <w:rFonts w:ascii="Arial" w:cs="Arial" w:eastAsia="Arial" w:hAnsi="Arial"/>
                <w:sz w:val="18"/>
                <w:szCs w:val="18"/>
                <w:color w:val="auto"/>
              </w:rPr>
              <w:t>10.18*+</w:t>
            </w:r>
          </w:p>
        </w:tc>
        <w:tc>
          <w:tcPr>
            <w:tcW w:w="9260" w:type="dxa"/>
            <w:vAlign w:val="bottom"/>
          </w:tcPr>
          <w:p>
            <w:pPr>
              <w:ind w:left="60"/>
              <w:spacing w:after="0"/>
              <w:rPr>
                <w:sz w:val="20"/>
                <w:szCs w:val="20"/>
                <w:color w:val="auto"/>
              </w:rPr>
            </w:pPr>
            <w:r>
              <w:rPr>
                <w:rFonts w:ascii="Arial" w:cs="Arial" w:eastAsia="Arial" w:hAnsi="Arial"/>
                <w:sz w:val="18"/>
                <w:szCs w:val="18"/>
                <w:color w:val="auto"/>
              </w:rPr>
              <w:t>Form of Restricted Stock Units Grant Notice and Restricted Stock Units Award Agreement under Registrant's</w:t>
            </w:r>
          </w:p>
        </w:tc>
      </w:tr>
      <w:tr>
        <w:trPr>
          <w:trHeight w:val="216"/>
        </w:trPr>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rPr>
              <w:t>2009 Stock Incentive Plan (filed as Exhibit 10.3 to the Registrant's Current Report on Form 8-K filed on April 27,</w:t>
            </w:r>
          </w:p>
        </w:tc>
      </w:tr>
      <w:tr>
        <w:trPr>
          <w:trHeight w:val="222"/>
        </w:trPr>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rPr>
              <w:t>2009).</w:t>
            </w:r>
          </w:p>
        </w:tc>
      </w:tr>
      <w:tr>
        <w:trPr>
          <w:trHeight w:val="426"/>
        </w:trPr>
        <w:tc>
          <w:tcPr>
            <w:tcW w:w="2160" w:type="dxa"/>
            <w:vAlign w:val="bottom"/>
            <w:gridSpan w:val="3"/>
          </w:tcPr>
          <w:p>
            <w:pPr>
              <w:jc w:val="right"/>
              <w:ind w:right="60"/>
              <w:spacing w:after="0"/>
              <w:rPr>
                <w:sz w:val="20"/>
                <w:szCs w:val="20"/>
                <w:color w:val="auto"/>
              </w:rPr>
            </w:pPr>
            <w:r>
              <w:rPr>
                <w:rFonts w:ascii="Arial" w:cs="Arial" w:eastAsia="Arial" w:hAnsi="Arial"/>
                <w:sz w:val="18"/>
                <w:szCs w:val="18"/>
                <w:color w:val="auto"/>
              </w:rPr>
              <w:t>10.19*+</w:t>
            </w:r>
          </w:p>
        </w:tc>
        <w:tc>
          <w:tcPr>
            <w:tcW w:w="9260" w:type="dxa"/>
            <w:vAlign w:val="bottom"/>
          </w:tcPr>
          <w:p>
            <w:pPr>
              <w:ind w:left="60"/>
              <w:spacing w:after="0"/>
              <w:rPr>
                <w:sz w:val="20"/>
                <w:szCs w:val="20"/>
                <w:color w:val="auto"/>
              </w:rPr>
            </w:pPr>
            <w:r>
              <w:rPr>
                <w:rFonts w:ascii="Arial" w:cs="Arial" w:eastAsia="Arial" w:hAnsi="Arial"/>
                <w:sz w:val="18"/>
                <w:szCs w:val="18"/>
                <w:color w:val="auto"/>
              </w:rPr>
              <w:t>Form of Stock Option Grant Notice and Stock Option Award Agreement under Registrant's 2009 Stock Incentive</w:t>
            </w:r>
          </w:p>
        </w:tc>
      </w:tr>
      <w:tr>
        <w:trPr>
          <w:trHeight w:val="222"/>
        </w:trPr>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rPr>
              <w:t>Plan (filed as Exhibit 10.4 to the Registrant's Current Report on Form 8-K filed on April 27, 2009).</w:t>
            </w:r>
          </w:p>
        </w:tc>
      </w:tr>
      <w:tr>
        <w:trPr>
          <w:trHeight w:val="432"/>
        </w:trPr>
        <w:tc>
          <w:tcPr>
            <w:tcW w:w="19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rPr>
              <w:t>Subsidiaries of the Registrant.</w:t>
            </w:r>
          </w:p>
        </w:tc>
      </w:tr>
      <w:tr>
        <w:trPr>
          <w:trHeight w:val="432"/>
        </w:trPr>
        <w:tc>
          <w:tcPr>
            <w:tcW w:w="192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19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4"/>
                <w:szCs w:val="24"/>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rPr>
              <w:t>Power of Attorney (included on signature page to this Form 10-K).</w:t>
            </w:r>
          </w:p>
        </w:tc>
      </w:tr>
      <w:tr>
        <w:trPr>
          <w:trHeight w:val="432"/>
        </w:trPr>
        <w:tc>
          <w:tcPr>
            <w:tcW w:w="192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rPr>
              <w:t>Certification of the Principal Executive Officer, as required by Section 302 of the Sarbanes-Oxley Act of 2002.</w:t>
            </w:r>
          </w:p>
        </w:tc>
      </w:tr>
      <w:tr>
        <w:trPr>
          <w:trHeight w:val="432"/>
        </w:trPr>
        <w:tc>
          <w:tcPr>
            <w:tcW w:w="192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rPr>
              <w:t>Certification of the Principal Financial Officer, as required by Section 302 of the Sarbanes-Oxley Act of 2002.</w:t>
            </w:r>
          </w:p>
        </w:tc>
      </w:tr>
      <w:tr>
        <w:trPr>
          <w:trHeight w:val="432"/>
        </w:trPr>
        <w:tc>
          <w:tcPr>
            <w:tcW w:w="192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rPr>
              <w:t>Certification as required by Section 906 of the Sarbanes-Oxley Act of 2002.</w:t>
            </w:r>
          </w:p>
        </w:tc>
      </w:tr>
      <w:tr>
        <w:trPr>
          <w:trHeight w:val="432"/>
        </w:trPr>
        <w:tc>
          <w:tcPr>
            <w:tcW w:w="116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101.INS**</w:t>
            </w:r>
          </w:p>
        </w:tc>
        <w:tc>
          <w:tcPr>
            <w:tcW w:w="9260" w:type="dxa"/>
            <w:vAlign w:val="bottom"/>
          </w:tcPr>
          <w:p>
            <w:pPr>
              <w:ind w:left="60"/>
              <w:spacing w:after="0"/>
              <w:rPr>
                <w:sz w:val="20"/>
                <w:szCs w:val="20"/>
                <w:color w:val="auto"/>
              </w:rPr>
            </w:pPr>
            <w:r>
              <w:rPr>
                <w:rFonts w:ascii="Arial" w:cs="Arial" w:eastAsia="Arial" w:hAnsi="Arial"/>
                <w:sz w:val="18"/>
                <w:szCs w:val="18"/>
                <w:color w:val="auto"/>
              </w:rPr>
              <w:t>XBRL Instance Document</w:t>
            </w:r>
          </w:p>
        </w:tc>
      </w:tr>
      <w:tr>
        <w:trPr>
          <w:trHeight w:val="432"/>
        </w:trPr>
        <w:tc>
          <w:tcPr>
            <w:tcW w:w="116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101.SCH**</w:t>
            </w:r>
          </w:p>
        </w:tc>
        <w:tc>
          <w:tcPr>
            <w:tcW w:w="9260" w:type="dxa"/>
            <w:vAlign w:val="bottom"/>
          </w:tcPr>
          <w:p>
            <w:pPr>
              <w:ind w:left="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16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101.CAL**</w:t>
            </w:r>
          </w:p>
        </w:tc>
        <w:tc>
          <w:tcPr>
            <w:tcW w:w="9260" w:type="dxa"/>
            <w:vAlign w:val="bottom"/>
          </w:tcPr>
          <w:p>
            <w:pPr>
              <w:ind w:left="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16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101.LAB**</w:t>
            </w:r>
          </w:p>
        </w:tc>
        <w:tc>
          <w:tcPr>
            <w:tcW w:w="9260" w:type="dxa"/>
            <w:vAlign w:val="bottom"/>
          </w:tcPr>
          <w:p>
            <w:pPr>
              <w:ind w:left="60"/>
              <w:spacing w:after="0"/>
              <w:rPr>
                <w:sz w:val="20"/>
                <w:szCs w:val="20"/>
                <w:color w:val="auto"/>
              </w:rPr>
            </w:pPr>
            <w:r>
              <w:rPr>
                <w:rFonts w:ascii="Arial" w:cs="Arial" w:eastAsia="Arial" w:hAnsi="Arial"/>
                <w:sz w:val="18"/>
                <w:szCs w:val="18"/>
                <w:color w:val="auto"/>
              </w:rPr>
              <w:t>XBRL Taxonomy Extension Label Linkbase Document</w:t>
            </w:r>
          </w:p>
        </w:tc>
      </w:tr>
      <w:tr>
        <w:trPr>
          <w:trHeight w:val="648"/>
        </w:trPr>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60" w:type="dxa"/>
            <w:vAlign w:val="bottom"/>
          </w:tcPr>
          <w:p>
            <w:pPr>
              <w:ind w:left="3460"/>
              <w:spacing w:after="0"/>
              <w:rPr>
                <w:sz w:val="20"/>
                <w:szCs w:val="20"/>
                <w:color w:val="auto"/>
              </w:rPr>
            </w:pPr>
            <w:r>
              <w:rPr>
                <w:rFonts w:ascii="Arial" w:cs="Arial" w:eastAsia="Arial" w:hAnsi="Arial"/>
                <w:sz w:val="18"/>
                <w:szCs w:val="18"/>
                <w:color w:val="auto"/>
              </w:rPr>
              <w:t>51</w:t>
            </w:r>
          </w:p>
        </w:tc>
      </w:tr>
      <w:tr>
        <w:trPr>
          <w:trHeight w:val="228"/>
        </w:trPr>
        <w:tc>
          <w:tcPr>
            <w:tcW w:w="1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540"/>
        <w:spacing w:after="0"/>
        <w:rPr>
          <w:sz w:val="20"/>
          <w:szCs w:val="20"/>
          <w:color w:val="auto"/>
        </w:rPr>
      </w:pPr>
      <w:r>
        <w:rPr>
          <w:rFonts w:ascii="Arial" w:cs="Arial" w:eastAsia="Arial" w:hAnsi="Arial"/>
          <w:sz w:val="14"/>
          <w:szCs w:val="14"/>
          <w:b w:val="1"/>
          <w:bCs w:val="1"/>
          <w:color w:val="auto"/>
        </w:rPr>
        <w:t>Exhibit</w:t>
      </w:r>
    </w:p>
    <w:p>
      <w:pPr>
        <w:ind w:left="1520"/>
        <w:spacing w:after="0" w:line="221" w:lineRule="auto"/>
        <w:rPr>
          <w:sz w:val="20"/>
          <w:szCs w:val="20"/>
          <w:color w:val="auto"/>
        </w:rPr>
      </w:pPr>
      <w:r>
        <w:rPr>
          <w:rFonts w:ascii="Arial" w:cs="Arial" w:eastAsia="Arial" w:hAnsi="Arial"/>
          <w:sz w:val="14"/>
          <w:szCs w:val="14"/>
          <w:b w:val="1"/>
          <w:bCs w:val="1"/>
          <w:color w:val="auto"/>
        </w:rPr>
        <w:t>Number</w:t>
      </w:r>
    </w:p>
    <w:p>
      <w:pPr>
        <w:spacing w:after="0" w:line="21" w:lineRule="exact"/>
        <w:rPr>
          <w:sz w:val="20"/>
          <w:szCs w:val="20"/>
          <w:color w:val="auto"/>
        </w:rPr>
      </w:pPr>
    </w:p>
    <w:tbl>
      <w:tblPr>
        <w:tblLayout w:type="fixed"/>
        <w:tblInd w:w="1160" w:type="dxa"/>
        <w:tblCellMar>
          <w:top w:w="0" w:type="dxa"/>
          <w:left w:w="0" w:type="dxa"/>
          <w:bottom w:w="0" w:type="dxa"/>
          <w:right w:w="0" w:type="dxa"/>
        </w:tblCellMar>
      </w:tblPr>
      <w:tr>
        <w:trPr>
          <w:trHeight w:val="20"/>
        </w:trPr>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02"/>
        </w:trPr>
        <w:tc>
          <w:tcPr>
            <w:tcW w:w="1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101.PRE**</w:t>
            </w:r>
          </w:p>
        </w:tc>
        <w:tc>
          <w:tcPr>
            <w:tcW w:w="4460" w:type="dxa"/>
            <w:vAlign w:val="bottom"/>
            <w:gridSpan w:val="2"/>
          </w:tcPr>
          <w:p>
            <w:pPr>
              <w:ind w:left="60"/>
              <w:spacing w:after="0" w:line="202" w:lineRule="exact"/>
              <w:rPr>
                <w:sz w:val="20"/>
                <w:szCs w:val="20"/>
                <w:color w:val="auto"/>
              </w:rPr>
            </w:pPr>
            <w:r>
              <w:rPr>
                <w:rFonts w:ascii="Arial" w:cs="Arial" w:eastAsia="Arial" w:hAnsi="Arial"/>
                <w:sz w:val="18"/>
                <w:szCs w:val="18"/>
                <w:color w:val="auto"/>
                <w:w w:val="89"/>
              </w:rPr>
              <w:t>XBRL Taxonomy Extension Presentation Linkbase Document</w:t>
            </w:r>
          </w:p>
        </w:tc>
      </w:tr>
      <w:tr>
        <w:trPr>
          <w:trHeight w:val="417"/>
        </w:trPr>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101.DEF**</w:t>
            </w:r>
          </w:p>
        </w:tc>
        <w:tc>
          <w:tcPr>
            <w:tcW w:w="4460" w:type="dxa"/>
            <w:vAlign w:val="bottom"/>
            <w:gridSpan w:val="2"/>
          </w:tcPr>
          <w:p>
            <w:pPr>
              <w:ind w:left="60"/>
              <w:spacing w:after="0"/>
              <w:rPr>
                <w:sz w:val="20"/>
                <w:szCs w:val="20"/>
                <w:color w:val="auto"/>
              </w:rPr>
            </w:pPr>
            <w:r>
              <w:rPr>
                <w:rFonts w:ascii="Arial" w:cs="Arial" w:eastAsia="Arial" w:hAnsi="Arial"/>
                <w:sz w:val="18"/>
                <w:szCs w:val="18"/>
                <w:color w:val="auto"/>
                <w:w w:val="94"/>
              </w:rPr>
              <w:t>XBRL Taxonomy Extension Definition Linkbase Document</w:t>
            </w:r>
          </w:p>
        </w:tc>
      </w:tr>
      <w:tr>
        <w:trPr>
          <w:trHeight w:val="110"/>
        </w:trPr>
        <w:tc>
          <w:tcPr>
            <w:tcW w:w="12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324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herein by reference to the indicated filing.</w:t>
      </w:r>
    </w:p>
    <w:p>
      <w:pPr>
        <w:spacing w:after="0" w:line="252" w:lineRule="exact"/>
        <w:rPr>
          <w:sz w:val="20"/>
          <w:szCs w:val="20"/>
          <w:color w:val="auto"/>
        </w:rPr>
      </w:pPr>
    </w:p>
    <w:p>
      <w:pPr>
        <w:ind w:left="1680" w:hanging="531"/>
        <w:spacing w:after="0" w:line="256" w:lineRule="auto"/>
        <w:tabs>
          <w:tab w:leader="none" w:pos="1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in these exhibits shall not be deemed to be "filed" for purposes of Section 18 of the Securities Exchange Act of 1934, as amended, or otherwise subject to the liability of that section. The information contained therein shall not be incorporated by reference into any filing with the U.S. Securities and Exchange Commission made by Silicon Laboratories, whether made before or after the date hereof, regardless of any general incorporation language in such filing.</w:t>
      </w:r>
    </w:p>
    <w:p>
      <w:pPr>
        <w:spacing w:after="0" w:line="211" w:lineRule="exact"/>
        <w:rPr>
          <w:sz w:val="20"/>
          <w:szCs w:val="20"/>
          <w:color w:val="auto"/>
        </w:rPr>
      </w:pPr>
    </w:p>
    <w:p>
      <w:pPr>
        <w:ind w:left="5620" w:right="5520" w:hanging="4471"/>
        <w:spacing w:after="0" w:line="455" w:lineRule="auto"/>
        <w:tabs>
          <w:tab w:leader="none" w:pos="1683" w:val="left"/>
        </w:tabs>
        <w:numPr>
          <w:ilvl w:val="0"/>
          <w:numId w:val="32"/>
        </w:numPr>
        <w:rPr>
          <w:rFonts w:ascii="Arial" w:cs="Arial" w:eastAsia="Arial" w:hAnsi="Arial"/>
          <w:sz w:val="15"/>
          <w:szCs w:val="15"/>
          <w:color w:val="auto"/>
        </w:rPr>
      </w:pPr>
      <w:r>
        <w:rPr>
          <w:rFonts w:ascii="Arial" w:cs="Arial" w:eastAsia="Arial" w:hAnsi="Arial"/>
          <w:sz w:val="15"/>
          <w:szCs w:val="15"/>
          <w:color w:val="auto"/>
        </w:rPr>
        <w:t>Management contract or compensatory plan or arrangement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Austin, Texas, on February 10, 2011.</w:t>
      </w:r>
    </w:p>
    <w:p>
      <w:pPr>
        <w:spacing w:after="0" w:line="18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SILICON LABORATORIES INC.</w:t>
      </w:r>
    </w:p>
    <w:p>
      <w:pPr>
        <w:spacing w:after="0" w:line="225" w:lineRule="exact"/>
        <w:rPr>
          <w:sz w:val="20"/>
          <w:szCs w:val="20"/>
          <w:color w:val="auto"/>
        </w:rPr>
      </w:pPr>
    </w:p>
    <w:p>
      <w:pPr>
        <w:ind w:left="5080"/>
        <w:spacing w:after="0"/>
        <w:tabs>
          <w:tab w:leader="none" w:pos="7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NECIP SAYINER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148590</wp:posOffset>
            </wp:positionV>
            <wp:extent cx="30270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327" w:lineRule="exact"/>
        <w:rPr>
          <w:sz w:val="20"/>
          <w:szCs w:val="20"/>
          <w:color w:val="auto"/>
        </w:rPr>
      </w:pPr>
    </w:p>
    <w:p>
      <w:pPr>
        <w:jc w:val="center"/>
        <w:ind w:left="4400"/>
        <w:spacing w:after="0"/>
        <w:rPr>
          <w:sz w:val="20"/>
          <w:szCs w:val="20"/>
          <w:color w:val="auto"/>
        </w:rPr>
      </w:pPr>
      <w:r>
        <w:rPr>
          <w:rFonts w:ascii="Arial" w:cs="Arial" w:eastAsia="Arial" w:hAnsi="Arial"/>
          <w:sz w:val="18"/>
          <w:szCs w:val="18"/>
          <w:color w:val="auto"/>
        </w:rPr>
        <w:t>Necip Sayiner</w:t>
      </w:r>
    </w:p>
    <w:p>
      <w:pPr>
        <w:spacing w:after="0" w:line="15" w:lineRule="exact"/>
        <w:rPr>
          <w:sz w:val="20"/>
          <w:szCs w:val="20"/>
          <w:color w:val="auto"/>
        </w:rPr>
      </w:pPr>
    </w:p>
    <w:p>
      <w:pPr>
        <w:jc w:val="center"/>
        <w:ind w:left="44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Necip Sayiner and William G. Bock, and each of them, acting individually, as his or her attorney-in-fact, each with full power of substitution and resubstitution, for him or her and in his or her name, place and stead, in any and all capacities, to sign any and all amendments to this annual report on Form 10-K and other documents in connection herewith and therewith, and to file the same, with all exhibits thereto, with the Securities and Exchange Commission, granting unto said attorneys-in-fact and agents, and each of them, full power and authority to do and perform each and every act and thing requisite and necessary to be done in connection herewith and therewith and about the premises, as fully to all intents and purposes as he or she might or could do in person, hereby ratifying and confirming all that said attorneys-in-fact and agents, or any of them, or their or his substitute or substitutes, may lawfully do or cause to be done by virtue hereof.</w:t>
      </w:r>
    </w:p>
    <w:p>
      <w:pPr>
        <w:spacing w:after="0" w:line="172"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2" w:lineRule="exact"/>
        <w:rPr>
          <w:sz w:val="20"/>
          <w:szCs w:val="20"/>
          <w:color w:val="auto"/>
        </w:rPr>
      </w:pPr>
    </w:p>
    <w:p>
      <w:pPr>
        <w:ind w:left="2700"/>
        <w:spacing w:after="0"/>
        <w:tabs>
          <w:tab w:leader="none" w:pos="6380" w:val="left"/>
          <w:tab w:leader="none" w:pos="922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0"/>
              </w:rPr>
              <w:t>/s/ NAVDEEP S. SOOCH</w:t>
            </w:r>
          </w:p>
        </w:tc>
        <w:tc>
          <w:tcPr>
            <w:tcW w:w="3800" w:type="dxa"/>
            <w:vAlign w:val="bottom"/>
          </w:tcPr>
          <w:p>
            <w:pPr>
              <w:ind w:left="160"/>
              <w:spacing w:after="0"/>
              <w:rPr>
                <w:sz w:val="20"/>
                <w:szCs w:val="20"/>
                <w:color w:val="auto"/>
              </w:rPr>
            </w:pPr>
            <w:r>
              <w:rPr>
                <w:rFonts w:ascii="Arial" w:cs="Arial" w:eastAsia="Arial" w:hAnsi="Arial"/>
                <w:sz w:val="18"/>
                <w:szCs w:val="18"/>
                <w:color w:val="auto"/>
              </w:rPr>
              <w:t>Chairman of the Board</w:t>
            </w:r>
          </w:p>
        </w:tc>
        <w:tc>
          <w:tcPr>
            <w:tcW w:w="2980" w:type="dxa"/>
            <w:vAlign w:val="bottom"/>
          </w:tcPr>
          <w:p>
            <w:pPr>
              <w:ind w:left="300"/>
              <w:spacing w:after="0"/>
              <w:rPr>
                <w:sz w:val="20"/>
                <w:szCs w:val="20"/>
                <w:color w:val="auto"/>
              </w:rPr>
            </w:pPr>
            <w:r>
              <w:rPr>
                <w:rFonts w:ascii="Arial" w:cs="Arial" w:eastAsia="Arial" w:hAnsi="Arial"/>
                <w:sz w:val="18"/>
                <w:szCs w:val="18"/>
                <w:color w:val="auto"/>
              </w:rPr>
              <w:t>February 10, 2011</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85"/>
              </w:rPr>
              <w:t>Navdeep S. Sooch</w:t>
            </w:r>
          </w:p>
        </w:tc>
        <w:tc>
          <w:tcPr>
            <w:tcW w:w="38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3"/>
              </w:rPr>
              <w:t>/s/ NECIP SAYINER</w:t>
            </w:r>
          </w:p>
        </w:tc>
        <w:tc>
          <w:tcPr>
            <w:tcW w:w="3800" w:type="dxa"/>
            <w:vAlign w:val="bottom"/>
          </w:tcPr>
          <w:p>
            <w:pPr>
              <w:ind w:left="160"/>
              <w:spacing w:after="0"/>
              <w:rPr>
                <w:sz w:val="20"/>
                <w:szCs w:val="20"/>
                <w:color w:val="auto"/>
              </w:rPr>
            </w:pPr>
            <w:r>
              <w:rPr>
                <w:rFonts w:ascii="Arial" w:cs="Arial" w:eastAsia="Arial" w:hAnsi="Arial"/>
                <w:sz w:val="18"/>
                <w:szCs w:val="18"/>
                <w:color w:val="auto"/>
                <w:w w:val="97"/>
              </w:rPr>
              <w:t>President, Chief Executive Officer and Director</w:t>
            </w:r>
          </w:p>
        </w:tc>
        <w:tc>
          <w:tcPr>
            <w:tcW w:w="2980" w:type="dxa"/>
            <w:vAlign w:val="bottom"/>
          </w:tcPr>
          <w:p>
            <w:pPr>
              <w:ind w:left="300"/>
              <w:spacing w:after="0"/>
              <w:rPr>
                <w:sz w:val="20"/>
                <w:szCs w:val="20"/>
                <w:color w:val="auto"/>
              </w:rPr>
            </w:pPr>
            <w:r>
              <w:rPr>
                <w:rFonts w:ascii="Arial" w:cs="Arial" w:eastAsia="Arial" w:hAnsi="Arial"/>
                <w:sz w:val="18"/>
                <w:szCs w:val="18"/>
                <w:color w:val="auto"/>
              </w:rPr>
              <w:t>February 10, 2011</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800" w:type="dxa"/>
            <w:vAlign w:val="bottom"/>
            <w:vMerge w:val="restart"/>
          </w:tcPr>
          <w:p>
            <w:pPr>
              <w:ind w:left="160"/>
              <w:spacing w:after="0"/>
              <w:rPr>
                <w:sz w:val="20"/>
                <w:szCs w:val="20"/>
                <w:color w:val="auto"/>
              </w:rPr>
            </w:pPr>
            <w:r>
              <w:rPr>
                <w:rFonts w:ascii="Arial" w:cs="Arial" w:eastAsia="Arial" w:hAnsi="Arial"/>
                <w:sz w:val="18"/>
                <w:szCs w:val="18"/>
                <w:color w:val="auto"/>
              </w:rPr>
              <w:t>(Principal Executive Officer)</w:t>
            </w: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480" w:type="dxa"/>
            <w:vAlign w:val="bottom"/>
            <w:vMerge w:val="restart"/>
          </w:tcPr>
          <w:p>
            <w:pPr>
              <w:jc w:val="center"/>
              <w:spacing w:after="0"/>
              <w:rPr>
                <w:sz w:val="20"/>
                <w:szCs w:val="20"/>
                <w:color w:val="auto"/>
              </w:rPr>
            </w:pPr>
            <w:r>
              <w:rPr>
                <w:rFonts w:ascii="Arial" w:cs="Arial" w:eastAsia="Arial" w:hAnsi="Arial"/>
                <w:sz w:val="18"/>
                <w:szCs w:val="18"/>
                <w:color w:val="auto"/>
                <w:w w:val="89"/>
              </w:rPr>
              <w:t>Necip Sayiner</w:t>
            </w:r>
          </w:p>
        </w:tc>
        <w:tc>
          <w:tcPr>
            <w:tcW w:w="3800" w:type="dxa"/>
            <w:vAlign w:val="bottom"/>
            <w:vMerge w:val="continue"/>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480" w:type="dxa"/>
            <w:vAlign w:val="bottom"/>
            <w:vMerge w:val="continue"/>
          </w:tcPr>
          <w:p>
            <w:pPr>
              <w:spacing w:after="0"/>
              <w:rPr>
                <w:sz w:val="16"/>
                <w:szCs w:val="16"/>
                <w:color w:val="auto"/>
              </w:rPr>
            </w:pPr>
          </w:p>
        </w:tc>
        <w:tc>
          <w:tcPr>
            <w:tcW w:w="38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6"/>
              </w:rPr>
              <w:t>/s/ WILLIAM G. BOCK</w:t>
            </w:r>
          </w:p>
        </w:tc>
        <w:tc>
          <w:tcPr>
            <w:tcW w:w="3800" w:type="dxa"/>
            <w:vAlign w:val="bottom"/>
          </w:tcPr>
          <w:p>
            <w:pPr>
              <w:ind w:left="160"/>
              <w:spacing w:after="0"/>
              <w:rPr>
                <w:sz w:val="20"/>
                <w:szCs w:val="20"/>
                <w:color w:val="auto"/>
              </w:rPr>
            </w:pPr>
            <w:r>
              <w:rPr>
                <w:rFonts w:ascii="Arial" w:cs="Arial" w:eastAsia="Arial" w:hAnsi="Arial"/>
                <w:sz w:val="18"/>
                <w:szCs w:val="18"/>
                <w:color w:val="auto"/>
              </w:rPr>
              <w:t>Senior Vice President and Chief Financial</w:t>
            </w:r>
          </w:p>
        </w:tc>
        <w:tc>
          <w:tcPr>
            <w:tcW w:w="2980" w:type="dxa"/>
            <w:vAlign w:val="bottom"/>
          </w:tcPr>
          <w:p>
            <w:pPr>
              <w:ind w:left="300"/>
              <w:spacing w:after="0"/>
              <w:rPr>
                <w:sz w:val="20"/>
                <w:szCs w:val="20"/>
                <w:color w:val="auto"/>
              </w:rPr>
            </w:pPr>
            <w:r>
              <w:rPr>
                <w:rFonts w:ascii="Arial" w:cs="Arial" w:eastAsia="Arial" w:hAnsi="Arial"/>
                <w:sz w:val="18"/>
                <w:szCs w:val="18"/>
                <w:color w:val="auto"/>
              </w:rPr>
              <w:t>February 10, 2011</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800" w:type="dxa"/>
            <w:vAlign w:val="bottom"/>
            <w:vMerge w:val="restart"/>
          </w:tcPr>
          <w:p>
            <w:pPr>
              <w:ind w:left="160"/>
              <w:spacing w:after="0"/>
              <w:rPr>
                <w:sz w:val="20"/>
                <w:szCs w:val="20"/>
                <w:color w:val="auto"/>
              </w:rPr>
            </w:pPr>
            <w:r>
              <w:rPr>
                <w:rFonts w:ascii="Arial" w:cs="Arial" w:eastAsia="Arial" w:hAnsi="Arial"/>
                <w:sz w:val="18"/>
                <w:szCs w:val="18"/>
                <w:color w:val="auto"/>
              </w:rPr>
              <w:t>Officer (Principal Financial Officer)</w:t>
            </w: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480" w:type="dxa"/>
            <w:vAlign w:val="bottom"/>
            <w:vMerge w:val="restart"/>
          </w:tcPr>
          <w:p>
            <w:pPr>
              <w:jc w:val="center"/>
              <w:spacing w:after="0"/>
              <w:rPr>
                <w:sz w:val="20"/>
                <w:szCs w:val="20"/>
                <w:color w:val="auto"/>
              </w:rPr>
            </w:pPr>
            <w:r>
              <w:rPr>
                <w:rFonts w:ascii="Arial" w:cs="Arial" w:eastAsia="Arial" w:hAnsi="Arial"/>
                <w:sz w:val="18"/>
                <w:szCs w:val="18"/>
                <w:color w:val="auto"/>
                <w:w w:val="94"/>
              </w:rPr>
              <w:t>William G. Bock</w:t>
            </w:r>
          </w:p>
        </w:tc>
        <w:tc>
          <w:tcPr>
            <w:tcW w:w="3800" w:type="dxa"/>
            <w:vAlign w:val="bottom"/>
            <w:vMerge w:val="continue"/>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480" w:type="dxa"/>
            <w:vAlign w:val="bottom"/>
            <w:vMerge w:val="continue"/>
          </w:tcPr>
          <w:p>
            <w:pPr>
              <w:spacing w:after="0"/>
              <w:rPr>
                <w:sz w:val="16"/>
                <w:szCs w:val="16"/>
                <w:color w:val="auto"/>
              </w:rPr>
            </w:pPr>
          </w:p>
        </w:tc>
        <w:tc>
          <w:tcPr>
            <w:tcW w:w="38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0"/>
              </w:rPr>
              <w:t>/s/ PAUL V. WALSH, JR.</w:t>
            </w:r>
          </w:p>
        </w:tc>
        <w:tc>
          <w:tcPr>
            <w:tcW w:w="3800" w:type="dxa"/>
            <w:vAlign w:val="bottom"/>
          </w:tcPr>
          <w:p>
            <w:pPr>
              <w:ind w:left="160"/>
              <w:spacing w:after="0"/>
              <w:rPr>
                <w:sz w:val="20"/>
                <w:szCs w:val="20"/>
                <w:color w:val="auto"/>
              </w:rPr>
            </w:pPr>
            <w:r>
              <w:rPr>
                <w:rFonts w:ascii="Arial" w:cs="Arial" w:eastAsia="Arial" w:hAnsi="Arial"/>
                <w:sz w:val="18"/>
                <w:szCs w:val="18"/>
                <w:color w:val="auto"/>
              </w:rPr>
              <w:t>Vice President and Chief Accounting Officer</w:t>
            </w:r>
          </w:p>
        </w:tc>
        <w:tc>
          <w:tcPr>
            <w:tcW w:w="2980" w:type="dxa"/>
            <w:vAlign w:val="bottom"/>
          </w:tcPr>
          <w:p>
            <w:pPr>
              <w:ind w:left="300"/>
              <w:spacing w:after="0"/>
              <w:rPr>
                <w:sz w:val="20"/>
                <w:szCs w:val="20"/>
                <w:color w:val="auto"/>
              </w:rPr>
            </w:pPr>
            <w:r>
              <w:rPr>
                <w:rFonts w:ascii="Arial" w:cs="Arial" w:eastAsia="Arial" w:hAnsi="Arial"/>
                <w:sz w:val="18"/>
                <w:szCs w:val="18"/>
                <w:color w:val="auto"/>
              </w:rPr>
              <w:t>February 10, 2011</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800" w:type="dxa"/>
            <w:vAlign w:val="bottom"/>
            <w:vMerge w:val="restart"/>
          </w:tcPr>
          <w:p>
            <w:pPr>
              <w:ind w:left="160"/>
              <w:spacing w:after="0"/>
              <w:rPr>
                <w:sz w:val="20"/>
                <w:szCs w:val="20"/>
                <w:color w:val="auto"/>
              </w:rPr>
            </w:pPr>
            <w:r>
              <w:rPr>
                <w:rFonts w:ascii="Arial" w:cs="Arial" w:eastAsia="Arial" w:hAnsi="Arial"/>
                <w:sz w:val="18"/>
                <w:szCs w:val="18"/>
                <w:color w:val="auto"/>
              </w:rPr>
              <w:t>(Principal Accounting Officer)</w:t>
            </w: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480" w:type="dxa"/>
            <w:vAlign w:val="bottom"/>
            <w:vMerge w:val="restart"/>
          </w:tcPr>
          <w:p>
            <w:pPr>
              <w:jc w:val="center"/>
              <w:spacing w:after="0"/>
              <w:rPr>
                <w:sz w:val="20"/>
                <w:szCs w:val="20"/>
                <w:color w:val="auto"/>
              </w:rPr>
            </w:pPr>
            <w:r>
              <w:rPr>
                <w:rFonts w:ascii="Arial" w:cs="Arial" w:eastAsia="Arial" w:hAnsi="Arial"/>
                <w:sz w:val="18"/>
                <w:szCs w:val="18"/>
                <w:color w:val="auto"/>
                <w:w w:val="86"/>
              </w:rPr>
              <w:t>Paul V. Walsh, Jr.</w:t>
            </w:r>
          </w:p>
        </w:tc>
        <w:tc>
          <w:tcPr>
            <w:tcW w:w="3800" w:type="dxa"/>
            <w:vAlign w:val="bottom"/>
            <w:vMerge w:val="continue"/>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480" w:type="dxa"/>
            <w:vAlign w:val="bottom"/>
            <w:vMerge w:val="continue"/>
          </w:tcPr>
          <w:p>
            <w:pPr>
              <w:spacing w:after="0"/>
              <w:rPr>
                <w:sz w:val="16"/>
                <w:szCs w:val="16"/>
                <w:color w:val="auto"/>
              </w:rPr>
            </w:pPr>
          </w:p>
        </w:tc>
        <w:tc>
          <w:tcPr>
            <w:tcW w:w="38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00" w:type="dxa"/>
            <w:vAlign w:val="bottom"/>
          </w:tcPr>
          <w:p>
            <w:pPr>
              <w:ind w:left="980"/>
              <w:spacing w:after="0"/>
              <w:rPr>
                <w:sz w:val="20"/>
                <w:szCs w:val="20"/>
                <w:color w:val="auto"/>
              </w:rPr>
            </w:pPr>
            <w:r>
              <w:rPr>
                <w:rFonts w:ascii="Arial" w:cs="Arial" w:eastAsia="Arial" w:hAnsi="Arial"/>
                <w:sz w:val="18"/>
                <w:szCs w:val="18"/>
                <w:color w:val="auto"/>
              </w:rPr>
              <w:t>53</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700"/>
        <w:spacing w:after="0"/>
        <w:tabs>
          <w:tab w:leader="none" w:pos="6380" w:val="left"/>
          <w:tab w:leader="none" w:pos="922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6"/>
              </w:rPr>
              <w:t>/s/ DAVID R. WELLAND</w:t>
            </w:r>
          </w:p>
        </w:tc>
        <w:tc>
          <w:tcPr>
            <w:tcW w:w="3100" w:type="dxa"/>
            <w:vAlign w:val="bottom"/>
          </w:tcPr>
          <w:p>
            <w:pPr>
              <w:spacing w:after="0"/>
              <w:rPr>
                <w:sz w:val="19"/>
                <w:szCs w:val="19"/>
                <w:color w:val="auto"/>
              </w:rPr>
            </w:pPr>
          </w:p>
        </w:tc>
        <w:tc>
          <w:tcPr>
            <w:tcW w:w="3680" w:type="dxa"/>
            <w:vAlign w:val="bottom"/>
          </w:tcPr>
          <w:p>
            <w:pPr>
              <w:spacing w:after="0"/>
              <w:rPr>
                <w:sz w:val="19"/>
                <w:szCs w:val="19"/>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368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0"/>
              </w:rPr>
              <w:t>David R. Welland</w:t>
            </w:r>
          </w:p>
        </w:tc>
        <w:tc>
          <w:tcPr>
            <w:tcW w:w="3100" w:type="dxa"/>
            <w:vAlign w:val="bottom"/>
          </w:tcPr>
          <w:p>
            <w:pPr>
              <w:ind w:left="160"/>
              <w:spacing w:after="0"/>
              <w:rPr>
                <w:sz w:val="20"/>
                <w:szCs w:val="20"/>
                <w:color w:val="auto"/>
              </w:rPr>
            </w:pPr>
            <w:r>
              <w:rPr>
                <w:rFonts w:ascii="Arial" w:cs="Arial" w:eastAsia="Arial" w:hAnsi="Arial"/>
                <w:sz w:val="18"/>
                <w:szCs w:val="18"/>
                <w:color w:val="auto"/>
              </w:rPr>
              <w:t>Vice President and Director</w:t>
            </w:r>
          </w:p>
        </w:tc>
        <w:tc>
          <w:tcPr>
            <w:tcW w:w="3680" w:type="dxa"/>
            <w:vAlign w:val="bottom"/>
          </w:tcPr>
          <w:p>
            <w:pPr>
              <w:ind w:left="1000"/>
              <w:spacing w:after="0"/>
              <w:rPr>
                <w:sz w:val="20"/>
                <w:szCs w:val="20"/>
                <w:color w:val="auto"/>
              </w:rPr>
            </w:pPr>
            <w:r>
              <w:rPr>
                <w:rFonts w:ascii="Arial" w:cs="Arial" w:eastAsia="Arial" w:hAnsi="Arial"/>
                <w:sz w:val="18"/>
                <w:szCs w:val="18"/>
                <w:color w:val="auto"/>
              </w:rPr>
              <w:t>February 10, 2011</w:t>
            </w:r>
          </w:p>
        </w:tc>
      </w:tr>
      <w:tr>
        <w:trPr>
          <w:trHeight w:val="45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3"/>
              </w:rPr>
              <w:t>/s/ HARVEY B. CASH</w:t>
            </w:r>
          </w:p>
        </w:tc>
        <w:tc>
          <w:tcPr>
            <w:tcW w:w="31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368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88"/>
              </w:rPr>
              <w:t>Harvey B. Cash</w:t>
            </w:r>
          </w:p>
        </w:tc>
        <w:tc>
          <w:tcPr>
            <w:tcW w:w="31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680" w:type="dxa"/>
            <w:vAlign w:val="bottom"/>
          </w:tcPr>
          <w:p>
            <w:pPr>
              <w:ind w:left="1000"/>
              <w:spacing w:after="0"/>
              <w:rPr>
                <w:sz w:val="20"/>
                <w:szCs w:val="20"/>
                <w:color w:val="auto"/>
              </w:rPr>
            </w:pPr>
            <w:r>
              <w:rPr>
                <w:rFonts w:ascii="Arial" w:cs="Arial" w:eastAsia="Arial" w:hAnsi="Arial"/>
                <w:sz w:val="18"/>
                <w:szCs w:val="18"/>
                <w:color w:val="auto"/>
              </w:rPr>
              <w:t>February 10, 2011</w:t>
            </w:r>
          </w:p>
        </w:tc>
      </w:tr>
      <w:tr>
        <w:trPr>
          <w:trHeight w:val="45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3"/>
              </w:rPr>
              <w:t>/s/ ROBERT TED ENLOE, III</w:t>
            </w:r>
          </w:p>
        </w:tc>
        <w:tc>
          <w:tcPr>
            <w:tcW w:w="31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368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0"/>
              </w:rPr>
              <w:t>Robert Ted Enloe, III</w:t>
            </w:r>
          </w:p>
        </w:tc>
        <w:tc>
          <w:tcPr>
            <w:tcW w:w="31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680" w:type="dxa"/>
            <w:vAlign w:val="bottom"/>
          </w:tcPr>
          <w:p>
            <w:pPr>
              <w:ind w:left="1000"/>
              <w:spacing w:after="0"/>
              <w:rPr>
                <w:sz w:val="20"/>
                <w:szCs w:val="20"/>
                <w:color w:val="auto"/>
              </w:rPr>
            </w:pPr>
            <w:r>
              <w:rPr>
                <w:rFonts w:ascii="Arial" w:cs="Arial" w:eastAsia="Arial" w:hAnsi="Arial"/>
                <w:sz w:val="18"/>
                <w:szCs w:val="18"/>
                <w:color w:val="auto"/>
              </w:rPr>
              <w:t>February 10, 2011</w:t>
            </w:r>
          </w:p>
        </w:tc>
      </w:tr>
      <w:tr>
        <w:trPr>
          <w:trHeight w:val="45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3"/>
              </w:rPr>
              <w:t>/s/ KRISTEN M. ONKEN</w:t>
            </w:r>
          </w:p>
        </w:tc>
        <w:tc>
          <w:tcPr>
            <w:tcW w:w="31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368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2"/>
              </w:rPr>
              <w:t>Kristen M. Onken</w:t>
            </w:r>
          </w:p>
        </w:tc>
        <w:tc>
          <w:tcPr>
            <w:tcW w:w="31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680" w:type="dxa"/>
            <w:vAlign w:val="bottom"/>
          </w:tcPr>
          <w:p>
            <w:pPr>
              <w:ind w:left="1000"/>
              <w:spacing w:after="0"/>
              <w:rPr>
                <w:sz w:val="20"/>
                <w:szCs w:val="20"/>
                <w:color w:val="auto"/>
              </w:rPr>
            </w:pPr>
            <w:r>
              <w:rPr>
                <w:rFonts w:ascii="Arial" w:cs="Arial" w:eastAsia="Arial" w:hAnsi="Arial"/>
                <w:sz w:val="18"/>
                <w:szCs w:val="18"/>
                <w:color w:val="auto"/>
              </w:rPr>
              <w:t>February 10, 2011</w:t>
            </w:r>
          </w:p>
        </w:tc>
      </w:tr>
      <w:tr>
        <w:trPr>
          <w:trHeight w:val="45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3"/>
              </w:rPr>
              <w:t>/s/ LAURENCE G. WALKER</w:t>
            </w:r>
          </w:p>
        </w:tc>
        <w:tc>
          <w:tcPr>
            <w:tcW w:w="31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368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87"/>
              </w:rPr>
              <w:t>Laurence G. Walker</w:t>
            </w:r>
          </w:p>
        </w:tc>
        <w:tc>
          <w:tcPr>
            <w:tcW w:w="31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680" w:type="dxa"/>
            <w:vAlign w:val="bottom"/>
          </w:tcPr>
          <w:p>
            <w:pPr>
              <w:ind w:left="1000"/>
              <w:spacing w:after="0"/>
              <w:rPr>
                <w:sz w:val="20"/>
                <w:szCs w:val="20"/>
                <w:color w:val="auto"/>
              </w:rPr>
            </w:pPr>
            <w:r>
              <w:rPr>
                <w:rFonts w:ascii="Arial" w:cs="Arial" w:eastAsia="Arial" w:hAnsi="Arial"/>
                <w:sz w:val="18"/>
                <w:szCs w:val="18"/>
                <w:color w:val="auto"/>
              </w:rPr>
              <w:t>February 10, 2011</w:t>
            </w:r>
          </w:p>
        </w:tc>
      </w:tr>
      <w:tr>
        <w:trPr>
          <w:trHeight w:val="45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5"/>
              </w:rPr>
              <w:t>/s/ WILLIAM P. WOOD</w:t>
            </w:r>
          </w:p>
        </w:tc>
        <w:tc>
          <w:tcPr>
            <w:tcW w:w="31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368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0"/>
              </w:rPr>
              <w:t>William P. Wood</w:t>
            </w:r>
          </w:p>
        </w:tc>
        <w:tc>
          <w:tcPr>
            <w:tcW w:w="31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680" w:type="dxa"/>
            <w:vAlign w:val="bottom"/>
          </w:tcPr>
          <w:p>
            <w:pPr>
              <w:ind w:left="1000"/>
              <w:spacing w:after="0"/>
              <w:rPr>
                <w:sz w:val="20"/>
                <w:szCs w:val="20"/>
                <w:color w:val="auto"/>
              </w:rPr>
            </w:pPr>
            <w:r>
              <w:rPr>
                <w:rFonts w:ascii="Arial" w:cs="Arial" w:eastAsia="Arial" w:hAnsi="Arial"/>
                <w:sz w:val="18"/>
                <w:szCs w:val="18"/>
                <w:color w:val="auto"/>
              </w:rPr>
              <w:t>February 10, 2011</w:t>
            </w:r>
          </w:p>
        </w:tc>
      </w:tr>
      <w:tr>
        <w:trPr>
          <w:trHeight w:val="432"/>
        </w:trPr>
        <w:tc>
          <w:tcPr>
            <w:tcW w:w="1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100" w:type="dxa"/>
            <w:vAlign w:val="bottom"/>
          </w:tcPr>
          <w:p>
            <w:pPr>
              <w:ind w:left="980"/>
              <w:spacing w:after="0"/>
              <w:rPr>
                <w:sz w:val="20"/>
                <w:szCs w:val="20"/>
                <w:color w:val="auto"/>
              </w:rPr>
            </w:pPr>
            <w:r>
              <w:rPr>
                <w:rFonts w:ascii="Arial" w:cs="Arial" w:eastAsia="Arial" w:hAnsi="Arial"/>
                <w:sz w:val="18"/>
                <w:szCs w:val="18"/>
                <w:color w:val="auto"/>
              </w:rPr>
              <w:t>54</w:t>
            </w:r>
          </w:p>
        </w:tc>
        <w:tc>
          <w:tcPr>
            <w:tcW w:w="368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 of Silicon Laboratories Inc.</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have audited Silicon Laboratories Inc.'s internal control over financial reporting as of January 1, 2011, based on criteria established in Internal Control— Integrated Framework issued by the Committee of Sponsoring Organizations of the Treadway Commission (the COSO criteria). Silicon Laboratories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0"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0"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our opinion, Silicon Laboratories Inc. maintained, in all material respects, effective internal control over financial reporting as of January 1, 2011, based on the COSO criteria.</w:t>
      </w:r>
    </w:p>
    <w:p>
      <w:pPr>
        <w:spacing w:after="0" w:line="186" w:lineRule="exact"/>
        <w:rPr>
          <w:sz w:val="20"/>
          <w:szCs w:val="20"/>
          <w:color w:val="auto"/>
        </w:rPr>
      </w:pPr>
    </w:p>
    <w:p>
      <w:pPr>
        <w:ind w:right="20" w:firstLine="348"/>
        <w:spacing w:after="0" w:line="335"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the consolidated balance sheets of Silicon Laboratories Inc. as of January 1, 2011 and January 2, 2010, and the related consolidated statements of income, changes in stockholders' equity and cash flows for each of the three fiscal years in the period ended January 1, 2011 and our report dated February 10, 2011 expressed an unqualified opinion thereon.</w:t>
      </w:r>
    </w:p>
    <w:p>
      <w:pPr>
        <w:spacing w:after="0" w:line="142"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10, 2011</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 of Silicon Laboratories Inc.</w:t>
      </w:r>
    </w:p>
    <w:p>
      <w:pPr>
        <w:spacing w:after="0" w:line="23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have audited the accompanying consolidated balance sheets of Silicon Laboratories Inc. as of January 1, 2011 and January 2, 2010, and the related consolidated statements of income, changes in stockholders' equity, and cash flows for each of the three fiscal years in the period ended January 1, 2011. These financial statements are the responsibility of the Company's management. Our responsibility is to express an opinion on these financial statements based on our audits.</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Silicon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Laboratories Inc. at January 1, 2011 and January 2, 2010, and the consolidated results of its operations and its cash flows for each of the three fiscal years in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period ended January 1, 2011, in conformity with U.S. generally accepted accounting principles.</w:t>
      </w:r>
    </w:p>
    <w:p>
      <w:pPr>
        <w:spacing w:after="0" w:line="219"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Silicon Laboratories Inc.'s internal control over financial reporting as of January 1, 2011, based on criteria established in Internal Control—Integrated Framework issued by the Committee of Sponsoring Organizations of the Treadway Commission and our report dated February 10, 2011 expressed an unqualified opinion thereon.</w:t>
      </w:r>
    </w:p>
    <w:p>
      <w:pPr>
        <w:spacing w:after="0" w:line="16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10, 2011</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5"/>
              </w:rPr>
              <w:t>January 1,</w:t>
            </w:r>
          </w:p>
        </w:tc>
        <w:tc>
          <w:tcPr>
            <w:tcW w:w="9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January 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ind w:left="330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138,567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195,737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227,295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214,486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Accounts receivable, net of allowance for doubtful accounts of $772 at January 1, 2011 and $567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at January 2, 2010</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56,128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39,450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31,512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34,447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18,515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493,929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523,998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Long-term investments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17,500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24,676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112,296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105,109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Other assets, net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20,746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19,384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727,658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742,838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40" w:type="dxa"/>
            <w:vAlign w:val="bottom"/>
            <w:vMerge w:val="restart"/>
          </w:tcPr>
          <w:p>
            <w:pPr>
              <w:ind w:left="218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72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24,433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28,759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Deferred income on shipments to distributors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26,127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28,470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79,856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88,639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Long-term obligations and other liabilities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102,228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113,042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Preferred stock—$0.0001 par value; 10,000 shares authorized; no shares issued and outstanding</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w w:val="90"/>
              </w:rPr>
              <w:t>Common stock—$0.0001 par value; 250,000 shares authorized; 43,933 and 45,772 shares issued</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ind w:left="300"/>
              <w:spacing w:after="0"/>
              <w:rPr>
                <w:sz w:val="20"/>
                <w:szCs w:val="20"/>
                <w:color w:val="auto"/>
              </w:rPr>
            </w:pPr>
            <w:r>
              <w:rPr>
                <w:rFonts w:ascii="Arial" w:cs="Arial" w:eastAsia="Arial" w:hAnsi="Arial"/>
                <w:sz w:val="18"/>
                <w:szCs w:val="18"/>
                <w:color w:val="auto"/>
              </w:rPr>
              <w:t>and outstanding at January 1, 2011 and January 2, 2010, respectively</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128,262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579,127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505,885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(4,356)</w:t>
            </w:r>
          </w:p>
        </w:tc>
        <w:tc>
          <w:tcPr>
            <w:tcW w:w="0" w:type="dxa"/>
            <w:vAlign w:val="bottom"/>
          </w:tcPr>
          <w:p>
            <w:pPr>
              <w:spacing w:after="0"/>
              <w:rPr>
                <w:sz w:val="1"/>
                <w:szCs w:val="1"/>
                <w:color w:val="auto"/>
              </w:rPr>
            </w:pPr>
          </w:p>
        </w:tc>
      </w:tr>
      <w:tr>
        <w:trPr>
          <w:trHeight w:val="27"/>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625,430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629,796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727,658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742,838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88"/>
              </w:rPr>
              <w:t>Year Ended</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960" w:type="dxa"/>
            <w:vAlign w:val="bottom"/>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w w:val="98"/>
              </w:rPr>
              <w:t>January 1,</w:t>
            </w:r>
          </w:p>
        </w:tc>
        <w:tc>
          <w:tcPr>
            <w:tcW w:w="94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January 2,</w:t>
            </w: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8"/>
              </w:rPr>
              <w:t>January 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493,341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441,020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415,630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Cost of revenues</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169,097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161,267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159,845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324,244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279,753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255,785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123,821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104,394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101,205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113,752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108,848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100,674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In-process research and development</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2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237,573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213,242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212,129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income (expense):</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(expense), net</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82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87,659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68,966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53,116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64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2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73,242</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73,092</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Earnings per share:</w:t>
            </w: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Basic</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482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Diluted</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46,742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46,542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48,989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59"/>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jc w:val="center"/>
        <w:ind w:right="-1059"/>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Common Stock</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Accumulated</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0"/>
              </w:rPr>
              <w:t>Other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5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8"/>
              </w:rPr>
              <w:t>Par</w:t>
            </w:r>
          </w:p>
        </w:tc>
        <w:tc>
          <w:tcPr>
            <w:tcW w:w="10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8"/>
              </w:rPr>
              <w:t>Paid-In</w:t>
            </w:r>
          </w:p>
        </w:tc>
        <w:tc>
          <w:tcPr>
            <w:tcW w:w="40" w:type="dxa"/>
            <w:vAlign w:val="bottom"/>
          </w:tcPr>
          <w:p>
            <w:pPr>
              <w:spacing w:after="0"/>
              <w:rPr>
                <w:sz w:val="12"/>
                <w:szCs w:val="12"/>
                <w:color w:val="auto"/>
              </w:rPr>
            </w:pPr>
          </w:p>
        </w:tc>
        <w:tc>
          <w:tcPr>
            <w:tcW w:w="70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w w:val="98"/>
              </w:rPr>
              <w:t>Retained</w:t>
            </w:r>
          </w:p>
        </w:tc>
        <w:tc>
          <w:tcPr>
            <w:tcW w:w="160" w:type="dxa"/>
            <w:vAlign w:val="bottom"/>
          </w:tcPr>
          <w:p>
            <w:pPr>
              <w:spacing w:after="0"/>
              <w:rPr>
                <w:sz w:val="12"/>
                <w:szCs w:val="12"/>
                <w:color w:val="auto"/>
              </w:rPr>
            </w:pPr>
          </w:p>
        </w:tc>
        <w:tc>
          <w:tcPr>
            <w:tcW w:w="11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40" w:type="dxa"/>
            <w:vAlign w:val="bottom"/>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3"/>
              </w:rPr>
              <w:t>of Shares</w:t>
            </w:r>
          </w:p>
        </w:tc>
        <w:tc>
          <w:tcPr>
            <w:tcW w:w="160" w:type="dxa"/>
            <w:vAlign w:val="bottom"/>
          </w:tcPr>
          <w:p>
            <w:pPr>
              <w:spacing w:after="0"/>
              <w:rPr>
                <w:sz w:val="14"/>
                <w:szCs w:val="1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6"/>
              </w:rPr>
              <w:t>Earnings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79"/>
              </w:rPr>
              <w:t>Loss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8"/>
              </w:rPr>
              <w:t>Equity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29, 2007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303,682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$ 399,858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Comprehensive income: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tcPr>
          <w:p>
            <w:pPr>
              <w:ind w:left="240"/>
              <w:spacing w:after="0"/>
              <w:rPr>
                <w:sz w:val="20"/>
                <w:szCs w:val="20"/>
                <w:color w:val="auto"/>
              </w:rPr>
            </w:pPr>
            <w:r>
              <w:rPr>
                <w:rFonts w:ascii="Arial" w:cs="Arial" w:eastAsia="Arial" w:hAnsi="Arial"/>
                <w:sz w:val="18"/>
                <w:szCs w:val="18"/>
                <w:color w:val="auto"/>
              </w:rPr>
              <w:t>Unrealized losses on available-for-sale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Pr>
          <w:p>
            <w:pPr>
              <w:ind w:left="400"/>
              <w:spacing w:after="0"/>
              <w:rPr>
                <w:sz w:val="20"/>
                <w:szCs w:val="20"/>
                <w:color w:val="auto"/>
              </w:rPr>
            </w:pPr>
            <w:r>
              <w:rPr>
                <w:rFonts w:ascii="Arial" w:cs="Arial" w:eastAsia="Arial" w:hAnsi="Arial"/>
                <w:sz w:val="18"/>
                <w:szCs w:val="18"/>
                <w:color w:val="auto"/>
              </w:rPr>
              <w:t>securities, net of tax of $1,297</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(2,406)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5"/>
              </w:rPr>
              <w:t>Unrealized losses on cash flow hedges, net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of tax of $1,961</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(3,642)</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80" w:type="dxa"/>
            <w:vAlign w:val="bottom"/>
            <w:vMerge w:val="restart"/>
          </w:tcPr>
          <w:p>
            <w:pPr>
              <w:ind w:left="240"/>
              <w:spacing w:after="0"/>
              <w:rPr>
                <w:sz w:val="20"/>
                <w:szCs w:val="20"/>
                <w:color w:val="auto"/>
              </w:rPr>
            </w:pPr>
            <w:r>
              <w:rPr>
                <w:rFonts w:ascii="Arial" w:cs="Arial" w:eastAsia="Arial" w:hAnsi="Arial"/>
                <w:sz w:val="18"/>
                <w:szCs w:val="18"/>
                <w:color w:val="auto"/>
              </w:rPr>
              <w:t>Total comprehensive income</w:t>
            </w: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26,887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Stock issuances under employee plans, net of</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shares withheld for taxes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w w:val="92"/>
              </w:rPr>
              <w:t>Income tax benefit from employee stock-based</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Pr>
          <w:p>
            <w:pPr>
              <w:ind w:left="280"/>
              <w:spacing w:after="0"/>
              <w:rPr>
                <w:sz w:val="20"/>
                <w:szCs w:val="20"/>
                <w:color w:val="auto"/>
              </w:rPr>
            </w:pPr>
            <w:r>
              <w:rPr>
                <w:rFonts w:ascii="Arial" w:cs="Arial" w:eastAsia="Arial" w:hAnsi="Arial"/>
                <w:sz w:val="18"/>
                <w:szCs w:val="18"/>
                <w:color w:val="auto"/>
              </w:rPr>
              <w:t>awards</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Repurchases of common stock</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(9,371)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(280,286)</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40,565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40,565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acquisition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00" w:type="dxa"/>
            <w:vAlign w:val="bottom"/>
            <w:gridSpan w:val="2"/>
            <w:vMerge w:val="restart"/>
          </w:tcPr>
          <w:p>
            <w:pPr>
              <w:spacing w:after="0"/>
              <w:rPr>
                <w:sz w:val="20"/>
                <w:szCs w:val="20"/>
                <w:color w:val="auto"/>
              </w:rPr>
            </w:pPr>
            <w:r>
              <w:rPr>
                <w:rFonts w:ascii="Arial" w:cs="Arial" w:eastAsia="Arial" w:hAnsi="Arial"/>
                <w:sz w:val="18"/>
                <w:szCs w:val="18"/>
                <w:color w:val="auto"/>
              </w:rPr>
              <w:t>Balance as of January 3, 2009</w:t>
            </w: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600" w:type="dxa"/>
            <w:vAlign w:val="bottom"/>
            <w:gridSpan w:val="2"/>
            <w:vMerge w:val="continue"/>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44,613</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75,711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432,793</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502,460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Comprehensive income: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73,092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73,092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gains on available-for-sale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securities, net of tax of $(522)</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tcPr>
          <w:p>
            <w:pPr>
              <w:ind w:left="240"/>
              <w:spacing w:after="0"/>
              <w:rPr>
                <w:sz w:val="20"/>
                <w:szCs w:val="20"/>
                <w:color w:val="auto"/>
              </w:rPr>
            </w:pPr>
            <w:r>
              <w:rPr>
                <w:rFonts w:ascii="Arial" w:cs="Arial" w:eastAsia="Arial" w:hAnsi="Arial"/>
                <w:sz w:val="18"/>
                <w:szCs w:val="18"/>
                <w:color w:val="auto"/>
                <w:w w:val="92"/>
              </w:rPr>
              <w:t>Unrealized gains on cash flow hedges, net of</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tcPr>
          <w:p>
            <w:pPr>
              <w:ind w:left="400"/>
              <w:spacing w:after="0"/>
              <w:rPr>
                <w:sz w:val="20"/>
                <w:szCs w:val="20"/>
                <w:color w:val="auto"/>
              </w:rPr>
            </w:pPr>
            <w:r>
              <w:rPr>
                <w:rFonts w:ascii="Arial" w:cs="Arial" w:eastAsia="Arial" w:hAnsi="Arial"/>
                <w:sz w:val="18"/>
                <w:szCs w:val="18"/>
                <w:color w:val="auto"/>
              </w:rPr>
              <w:t>tax of $(389)</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comprehensive income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w w:val="93"/>
              </w:rPr>
              <w:t>Stock issuances under employee plans, net of</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Pr>
          <w:p>
            <w:pPr>
              <w:ind w:left="280"/>
              <w:spacing w:after="0"/>
              <w:rPr>
                <w:sz w:val="20"/>
                <w:szCs w:val="20"/>
                <w:color w:val="auto"/>
              </w:rPr>
            </w:pPr>
            <w:r>
              <w:rPr>
                <w:rFonts w:ascii="Arial" w:cs="Arial" w:eastAsia="Arial" w:hAnsi="Arial"/>
                <w:sz w:val="18"/>
                <w:szCs w:val="18"/>
                <w:color w:val="auto"/>
              </w:rPr>
              <w:t>shares withheld for taxes</w:t>
            </w:r>
          </w:p>
        </w:tc>
        <w:tc>
          <w:tcPr>
            <w:tcW w:w="720" w:type="dxa"/>
            <w:vAlign w:val="bottom"/>
          </w:tcPr>
          <w:p>
            <w:pPr>
              <w:jc w:val="right"/>
              <w:spacing w:after="0"/>
              <w:rPr>
                <w:sz w:val="20"/>
                <w:szCs w:val="20"/>
                <w:color w:val="auto"/>
              </w:rPr>
            </w:pPr>
            <w:r>
              <w:rPr>
                <w:rFonts w:ascii="Arial" w:cs="Arial" w:eastAsia="Arial" w:hAnsi="Arial"/>
                <w:sz w:val="18"/>
                <w:szCs w:val="18"/>
                <w:color w:val="auto"/>
              </w:rPr>
              <w:t>1,669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25,186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25,187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Income tax benefit from employee stock-based</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awards</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Repurchases of common stock</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(20,181)</w:t>
            </w: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(20,181)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00" w:type="dxa"/>
            <w:vAlign w:val="bottom"/>
            <w:gridSpan w:val="2"/>
            <w:vMerge w:val="restart"/>
          </w:tcPr>
          <w:p>
            <w:pPr>
              <w:spacing w:after="0"/>
              <w:rPr>
                <w:sz w:val="20"/>
                <w:szCs w:val="20"/>
                <w:color w:val="auto"/>
              </w:rPr>
            </w:pPr>
            <w:r>
              <w:rPr>
                <w:rFonts w:ascii="Arial" w:cs="Arial" w:eastAsia="Arial" w:hAnsi="Arial"/>
                <w:sz w:val="18"/>
                <w:szCs w:val="18"/>
                <w:color w:val="auto"/>
              </w:rPr>
              <w:t>Balance as of January 2, 2010</w:t>
            </w: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600" w:type="dxa"/>
            <w:vAlign w:val="bottom"/>
            <w:gridSpan w:val="2"/>
            <w:vMerge w:val="continue"/>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45,772</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128,262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505,885</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629,796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Comprehensive income: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73,242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73,242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gains on available-for-sale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securities, net of tax of $(143)</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tcPr>
          <w:p>
            <w:pPr>
              <w:ind w:left="240"/>
              <w:spacing w:after="0"/>
              <w:rPr>
                <w:sz w:val="20"/>
                <w:szCs w:val="20"/>
                <w:color w:val="auto"/>
              </w:rPr>
            </w:pPr>
            <w:r>
              <w:rPr>
                <w:rFonts w:ascii="Arial" w:cs="Arial" w:eastAsia="Arial" w:hAnsi="Arial"/>
                <w:sz w:val="18"/>
                <w:szCs w:val="18"/>
                <w:color w:val="auto"/>
                <w:w w:val="92"/>
              </w:rPr>
              <w:t>Unrealized gains on cash flow hedges, net of</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tcPr>
          <w:p>
            <w:pPr>
              <w:ind w:left="400"/>
              <w:spacing w:after="0"/>
              <w:rPr>
                <w:sz w:val="20"/>
                <w:szCs w:val="20"/>
                <w:color w:val="auto"/>
              </w:rPr>
            </w:pPr>
            <w:r>
              <w:rPr>
                <w:rFonts w:ascii="Arial" w:cs="Arial" w:eastAsia="Arial" w:hAnsi="Arial"/>
                <w:sz w:val="18"/>
                <w:szCs w:val="18"/>
                <w:color w:val="auto"/>
              </w:rPr>
              <w:t>tax of $(238)</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comprehensive income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w w:val="93"/>
              </w:rPr>
              <w:t>Stock issuances under employee plans, net of</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Pr>
          <w:p>
            <w:pPr>
              <w:ind w:left="280"/>
              <w:spacing w:after="0"/>
              <w:rPr>
                <w:sz w:val="20"/>
                <w:szCs w:val="20"/>
                <w:color w:val="auto"/>
              </w:rPr>
            </w:pPr>
            <w:r>
              <w:rPr>
                <w:rFonts w:ascii="Arial" w:cs="Arial" w:eastAsia="Arial" w:hAnsi="Arial"/>
                <w:sz w:val="18"/>
                <w:szCs w:val="18"/>
                <w:color w:val="auto"/>
              </w:rPr>
              <w:t>shares withheld for taxes</w:t>
            </w:r>
          </w:p>
        </w:tc>
        <w:tc>
          <w:tcPr>
            <w:tcW w:w="720" w:type="dxa"/>
            <w:vAlign w:val="bottom"/>
          </w:tcPr>
          <w:p>
            <w:pPr>
              <w:jc w:val="right"/>
              <w:spacing w:after="0"/>
              <w:rPr>
                <w:sz w:val="20"/>
                <w:szCs w:val="20"/>
                <w:color w:val="auto"/>
              </w:rPr>
            </w:pPr>
            <w:r>
              <w:rPr>
                <w:rFonts w:ascii="Arial" w:cs="Arial" w:eastAsia="Arial" w:hAnsi="Arial"/>
                <w:sz w:val="18"/>
                <w:szCs w:val="18"/>
                <w:color w:val="auto"/>
              </w:rPr>
              <w:t>1,453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18,055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18,055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Income tax benefit from employee stock-based</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awards</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Repurchases of common stock</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(3,292)</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(140,331)</w:t>
            </w: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(140,332)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00" w:type="dxa"/>
            <w:vAlign w:val="bottom"/>
            <w:gridSpan w:val="2"/>
            <w:vMerge w:val="restart"/>
          </w:tcPr>
          <w:p>
            <w:pPr>
              <w:spacing w:after="0"/>
              <w:rPr>
                <w:sz w:val="20"/>
                <w:szCs w:val="20"/>
                <w:color w:val="auto"/>
              </w:rPr>
            </w:pPr>
            <w:r>
              <w:rPr>
                <w:rFonts w:ascii="Arial" w:cs="Arial" w:eastAsia="Arial" w:hAnsi="Arial"/>
                <w:sz w:val="18"/>
                <w:szCs w:val="18"/>
                <w:color w:val="auto"/>
              </w:rPr>
              <w:t>Balance as of January 1, 2011</w:t>
            </w: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80" w:type="dxa"/>
            <w:vAlign w:val="bottom"/>
            <w:gridSpan w:val="2"/>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600" w:type="dxa"/>
            <w:vAlign w:val="bottom"/>
            <w:gridSpan w:val="2"/>
            <w:vMerge w:val="continue"/>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43,933</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49,947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$ 579,127</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625,430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0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60"/>
          </w:cols>
          <w:pgMar w:left="240" w:top="131" w:right="129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3"/>
              </w:rPr>
              <w:t>January 1,</w:t>
            </w:r>
          </w:p>
        </w:tc>
        <w:tc>
          <w:tcPr>
            <w:tcW w:w="100" w:type="dxa"/>
            <w:vAlign w:val="bottom"/>
          </w:tcPr>
          <w:p>
            <w:pPr>
              <w:spacing w:after="0"/>
              <w:rPr>
                <w:sz w:val="11"/>
                <w:szCs w:val="11"/>
                <w:color w:val="auto"/>
              </w:rPr>
            </w:pP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6"/>
              </w:rPr>
              <w:t>January 2,</w:t>
            </w:r>
          </w:p>
        </w:tc>
        <w:tc>
          <w:tcPr>
            <w:tcW w:w="100" w:type="dxa"/>
            <w:vAlign w:val="bottom"/>
          </w:tcPr>
          <w:p>
            <w:pPr>
              <w:spacing w:after="0"/>
              <w:rPr>
                <w:sz w:val="11"/>
                <w:szCs w:val="11"/>
                <w:color w:val="auto"/>
              </w:rPr>
            </w:pPr>
          </w:p>
        </w:tc>
        <w:tc>
          <w:tcPr>
            <w:tcW w:w="740" w:type="dxa"/>
            <w:vAlign w:val="bottom"/>
          </w:tcPr>
          <w:p>
            <w:pPr>
              <w:jc w:val="right"/>
              <w:ind w:right="33"/>
              <w:spacing w:after="0" w:line="129" w:lineRule="exact"/>
              <w:rPr>
                <w:sz w:val="20"/>
                <w:szCs w:val="20"/>
                <w:color w:val="auto"/>
              </w:rPr>
            </w:pPr>
            <w:r>
              <w:rPr>
                <w:rFonts w:ascii="Arial" w:cs="Arial" w:eastAsia="Arial" w:hAnsi="Arial"/>
                <w:sz w:val="14"/>
                <w:szCs w:val="14"/>
                <w:b w:val="1"/>
                <w:bCs w:val="1"/>
                <w:color w:val="auto"/>
                <w:w w:val="86"/>
              </w:rPr>
              <w:t>January 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73,242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73,092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32,935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20"/>
              <w:spacing w:after="0"/>
              <w:rPr>
                <w:sz w:val="20"/>
                <w:szCs w:val="20"/>
                <w:color w:val="auto"/>
              </w:rPr>
            </w:pPr>
            <w:r>
              <w:rPr>
                <w:rFonts w:ascii="Arial" w:cs="Arial" w:eastAsia="Arial" w:hAnsi="Arial"/>
                <w:sz w:val="18"/>
                <w:szCs w:val="18"/>
                <w:color w:val="auto"/>
              </w:rPr>
              <w:t>Depreciation of property and equipment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disposal of property and equipment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20"/>
              <w:spacing w:after="0"/>
              <w:rPr>
                <w:sz w:val="20"/>
                <w:szCs w:val="20"/>
                <w:color w:val="auto"/>
              </w:rPr>
            </w:pPr>
            <w:r>
              <w:rPr>
                <w:rFonts w:ascii="Arial" w:cs="Arial" w:eastAsia="Arial" w:hAnsi="Arial"/>
                <w:sz w:val="18"/>
                <w:szCs w:val="18"/>
                <w:color w:val="auto"/>
              </w:rPr>
              <w:t>Amortization of other intangible assets and other assets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 expense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20"/>
              <w:spacing w:after="0"/>
              <w:rPr>
                <w:sz w:val="20"/>
                <w:szCs w:val="20"/>
                <w:color w:val="auto"/>
              </w:rPr>
            </w:pPr>
            <w:r>
              <w:rPr>
                <w:rFonts w:ascii="Arial" w:cs="Arial" w:eastAsia="Arial" w:hAnsi="Arial"/>
                <w:sz w:val="18"/>
                <w:szCs w:val="18"/>
                <w:color w:val="auto"/>
              </w:rPr>
              <w:t>Purchased in-process research and development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benefit from employee stock-based awards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20"/>
              <w:spacing w:after="0"/>
              <w:rPr>
                <w:sz w:val="20"/>
                <w:szCs w:val="20"/>
                <w:color w:val="auto"/>
              </w:rPr>
            </w:pPr>
            <w:r>
              <w:rPr>
                <w:rFonts w:ascii="Arial" w:cs="Arial" w:eastAsia="Arial" w:hAnsi="Arial"/>
                <w:sz w:val="18"/>
                <w:szCs w:val="18"/>
                <w:color w:val="auto"/>
              </w:rPr>
              <w:t>Excess income tax benefit from employee stock-based awards</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(1,862)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(19,657)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(7,811)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(3,216)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260"/>
              <w:spacing w:after="0"/>
              <w:rPr>
                <w:sz w:val="20"/>
                <w:szCs w:val="20"/>
                <w:color w:val="auto"/>
              </w:rPr>
            </w:pPr>
            <w:r>
              <w:rPr>
                <w:rFonts w:ascii="Arial" w:cs="Arial" w:eastAsia="Arial" w:hAnsi="Arial"/>
                <w:sz w:val="18"/>
                <w:szCs w:val="18"/>
                <w:color w:val="auto"/>
              </w:rPr>
              <w:t>Deferred income on shipments to distributors</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(2,343)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(12,914)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7"/>
        </w:trPr>
        <w:tc>
          <w:tcPr>
            <w:tcW w:w="614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117,935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120,941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119,682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Purchases of available-for-sale investments</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(357,777)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(237,968)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(151,470)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and maturities of marketable securities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(13,850)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(8,943)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sale of assets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Purchases of other assets</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(8,372)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(6,408)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businesses, net of cash acquired</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(28,021)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(78,477)</w:t>
            </w:r>
          </w:p>
        </w:tc>
        <w:tc>
          <w:tcPr>
            <w:tcW w:w="0" w:type="dxa"/>
            <w:vAlign w:val="bottom"/>
          </w:tcPr>
          <w:p>
            <w:pPr>
              <w:spacing w:after="0"/>
              <w:rPr>
                <w:sz w:val="1"/>
                <w:szCs w:val="1"/>
                <w:color w:val="auto"/>
              </w:rPr>
            </w:pPr>
          </w:p>
        </w:tc>
      </w:tr>
      <w:tr>
        <w:trPr>
          <w:trHeight w:val="27"/>
        </w:trPr>
        <w:tc>
          <w:tcPr>
            <w:tcW w:w="614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investing activities</w:t>
            </w: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140" w:type="dxa"/>
            <w:vAlign w:val="bottom"/>
            <w:gridSpan w:val="2"/>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(55,241)</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(104,344)</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69,170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Proceeds from issuance of common stock, net of shares withheld for taxes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25,187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Excess income tax benefit from employee stock-based awards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(140,331)</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(20,181)</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(286,140)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(119,864)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(280,988)</w:t>
            </w:r>
          </w:p>
        </w:tc>
        <w:tc>
          <w:tcPr>
            <w:tcW w:w="0" w:type="dxa"/>
            <w:vAlign w:val="bottom"/>
          </w:tcPr>
          <w:p>
            <w:pPr>
              <w:spacing w:after="0"/>
              <w:rPr>
                <w:sz w:val="1"/>
                <w:szCs w:val="1"/>
                <w:color w:val="auto"/>
              </w:rPr>
            </w:pPr>
          </w:p>
        </w:tc>
      </w:tr>
      <w:tr>
        <w:trPr>
          <w:trHeight w:val="430"/>
        </w:trPr>
        <w:tc>
          <w:tcPr>
            <w:tcW w:w="614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12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(57,170)</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23,465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(92,136)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14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14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138,567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195,737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172,272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Interest paid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279</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taxes paid</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20,780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18,613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January 1,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Silicon Laboratories Inc. (the "Company"), a Delaware corporation, develops and markets mixed-signal analog intensive integrated circuits (ICs) for a broad range of applications for global markets. Within the semiconductor industry, the Company is known as a "fabless" company meaning that the ICs are manufactured by third-party foundry semiconductor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Principles of Consolidation</w:t>
      </w:r>
    </w:p>
    <w:p>
      <w:pPr>
        <w:spacing w:after="0" w:line="225"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The Company prepares financial statements on a 52-53 week year that ends on the Saturday closest to December 31. Fiscal 2010 and 2009 were 52-week years and ended on January 1, 2011 and January 2, 2010, respectively. Fiscal 2008 was a 53-week year with the extra week occurring in the first quarter and ended on January 3, 2009. The accompanying Consolidated Financial Statements include the accounts of the Company and its wholly owned subsidiaries. All significant intercompany balances and transactions have been eliminated in consolidation.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Transactions</w:t>
      </w:r>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Company's foreign subsidiaries are considered to be extensions of the U.S. Company. The functional currency of these subsidiaries is the U.S. dollar. Accordingly, gains and losses resulting from remeasuring transactions denominated in currencies other than U.S. dollars are included in other income (expense), net in the Consolidated Statements of Income.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amounts reported in the financial statements and accompanying notes. Among the significant estimates affecting the financial statements are those related to inventories, stock-based compensation, investments in auction-rate securities, acquired intangible assets, goodwill, long-lived assets and income taxes. Actual results could differ from those estimates, and such differences could be material to the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reclassifications have been made to prior year financial statements to conform to current year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fair values of the Company's financial instruments are recorded using a hierarchal disclosure framework based upon the level of subjectivity of the inputs used in measuring assets and liabilities. The three levels are described below:</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 at the measurement date.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Level 2—Inputs are inputs other than quoted prices included within Level 1 that are observable for the asset or liability, either directly or indirectly.</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January 1, 2011 (Continued)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left="540" w:right="220"/>
        <w:spacing w:after="0" w:line="268" w:lineRule="auto"/>
        <w:rPr>
          <w:sz w:val="20"/>
          <w:szCs w:val="20"/>
          <w:color w:val="auto"/>
        </w:rPr>
      </w:pPr>
      <w:r>
        <w:rPr>
          <w:rFonts w:ascii="Arial" w:cs="Arial" w:eastAsia="Arial" w:hAnsi="Arial"/>
          <w:sz w:val="18"/>
          <w:szCs w:val="18"/>
          <w:color w:val="auto"/>
        </w:rPr>
        <w:t>Level 3—Inputs are unobservable for the asset or liability and are developed based on the best information available in the circumstances, which might include the Company's own data.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Cash and cash equivalents consist of cash deposits, money market funds and investments in debt securities with original maturities of ninety days or less when purchased.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Company's investments consist primarily of corporate bonds, variable-rate demand notes, municipal bonds, U.S. government agency bonds and discount notes, international government bonds, U.S. Treasury bills, certificate of deposits, commercial paper and auction-rate securities. These securities typically have original maturities greater than ninety days as of the date of purchase and are classified as either available-for-sale or trading securities. Investments in available-for-sale securities are reported at fair value, with unrealized gains and losses, net of tax, recorded as a component of accumulated other comprehensive loss in the Consolidated Balance Sheet. Investments in trading securities are reported at fair value, with both realized and unrealized gains and losses recorded in other income (expense), net in the Consolidated Statement of Income. Investments in which the Company has the ability and intent, if necessary, to liquidate in order to support its current operations (including those with contractual maturities greater than one year from the date of purchase) are classified as short-term. The Company's long-term investments consist of auction-rate securities.</w:t>
      </w:r>
    </w:p>
    <w:p>
      <w:pPr>
        <w:spacing w:after="0" w:line="172"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Company reviews its available-for-sale investments as of the end of each reporting period for other-than-temporary declines in fair value based on the specific identification method. The Company considers various factors in determining whether an impairment is other-than-temporary, including the severity and duration of the impairment, changes in underlying credit ratings, forecasted recovery, its intent to sell or the likelihood that it would be required to sell the investment before its anticipated recovery in market value and the probability that the scheduled cash payments will continue to be made. When the Company concludes that an other-than-temporary impairment has occurred, the Company assesses whether it intends to sell the security or if it is more likely than not that it will be required to sell the security before recovery. If either of these two conditions is met, the Company recognizes a charge in earnings equal to the entire difference between the security's amortized cost basis and its fair value. If the Company does not intend to sell a security or it is not more likely than not that it will be required to sell the security before recovery, the unrealized loss is separated into an amount representing the credit loss, which is recognized in earnings, and the amount related to all other factors, which is recorded in accumulated other comprehensive loss.</w:t>
      </w:r>
    </w:p>
    <w:p>
      <w:pPr>
        <w:spacing w:after="0" w:line="174"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addition, the Company has made equity investments in non-publicly traded companies that it accounts for under the cost method. The Company periodically reviews these investments for other-than-temporary declines in fair value based on the specific identification method and writes down investments to their fair values when it determines that an other-than-temporary decline has occurred.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Company uses derivative financial instruments to manage exposures to the variability of interest rates used to calculate base rents for its corporate headquarters leases. The Company's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January 1, 2011 (Continued)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objective is to offset increases and decreases in expenses resulting from changes in interest rates with losses and gains on the derivative contracts, thereby reducing volatility of earnings. The Company does not use derivative contracts for speculative purposes. The effective portion of the gain or loss on interest rate swaps is recorded in accumulated other comprehensive loss as a separate component of stockholders' equity and is subsequently recognized in earnings when the hedged exposure affects earnings. Cash flows from derivatives are classified as cash flows from operating activities in the Consolidated Statement of Cash Flows.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Inventories are stated at the lower of cost, determined using the first-in, first-out method, or market. The Company writes down the carrying value of inventory to net realizable value for estimated obsolescence or unmarketable inventory based upon assumptions about the age of inventory, future demand and market conditions. Inventory impairment charges establish a new cost basis for inventory and charges are not subsequently reversed to income even if circumstances later suggest that increased carrying amounts are recoverable.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ind w:right="120" w:firstLine="351"/>
        <w:spacing w:after="0" w:line="370" w:lineRule="auto"/>
        <w:rPr>
          <w:sz w:val="20"/>
          <w:szCs w:val="20"/>
          <w:color w:val="auto"/>
        </w:rPr>
      </w:pPr>
      <w:r>
        <w:rPr>
          <w:rFonts w:ascii="Arial" w:cs="Arial" w:eastAsia="Arial" w:hAnsi="Arial"/>
          <w:sz w:val="15"/>
          <w:szCs w:val="15"/>
          <w:color w:val="auto"/>
        </w:rPr>
        <w:t>Property and equipment are stated at cost, net of accumulated depreciation. Depreciation is computed using the straight-line method over the useful lives of the assets ranging from three to five years. Leasehold improvements are depreciated over the contractual lease period or their useful life, whichever is shorter.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Purchased intangible assets are stated at cost, net of accumulated amortization, and are amortized using the straight-line method over their estimated useful lives, ranging from two to twelve years. Fair values are determined primarily using the income approach, in which the Company projects future expected cash flows and applies an appropriate discount rate.</w:t>
      </w:r>
    </w:p>
    <w:p>
      <w:pPr>
        <w:spacing w:after="0" w:line="194"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Long-lived assets "held and used" by the Company are reviewed for impairment whenever events or changes in circumstances indicate that their net book value may not be recoverable. When such factors and circumstances exist, the Company compares the projected undiscounted future cash flows associated with the related asset or group of assets over their estimated useful lives, against their respective carrying amounts. Impairment, if any, is based on the excess of the carrying amount over the fair value of those assets and is recorded in the period in which the determination was made.</w:t>
      </w:r>
    </w:p>
    <w:p>
      <w:pPr>
        <w:spacing w:after="0" w:line="16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carrying value of goodwill is reviewed at least annually by the Company for possible impairment. The goodwill impairment test is a two-step process. The first step of the impairment analysis compares the fair value of the company or reporting unit to the net book value of the company or reporting unit. In determining fair value, several valuation methodologies are allowed, although quoted market prices are the best evidence of fair value. If the results of the first step demonstrate that the net book value is greater than the fair value, the Company must proceed to step two of the analysis. Step two of the analysis compares the implied fair value of goodwill to its carrying amount. If the carrying amount of goodwill exceeds its implied fair value, an impairment loss is recognized equal to that excess. The Company tests goodwill for impairment annually as of the first day of its fourth</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1, 2011 (Continued)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fiscal quarter and in interim periods if events occur that would indicate that the carrying value of goodwill may be impaired.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Revenues are generated almost exclusively by sales of the Company's ICs. The Company recognizes revenue when all of the following criteria are met:</w:t>
      </w:r>
    </w:p>
    <w:p>
      <w:pPr>
        <w:spacing w:after="0" w:line="38" w:lineRule="exact"/>
        <w:rPr>
          <w:sz w:val="20"/>
          <w:szCs w:val="20"/>
          <w:color w:val="auto"/>
        </w:rPr>
      </w:pPr>
    </w:p>
    <w:p>
      <w:pPr>
        <w:ind w:right="320" w:firstLine="8"/>
        <w:spacing w:after="0" w:line="323" w:lineRule="auto"/>
        <w:tabs>
          <w:tab w:leader="none" w:pos="19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there is persuasive evidence that an arrangement exists, 2) delivery of goods has occurred, 3) the sales price is fixed or determinable, and 4) collectibility is reasonably assured. Generally, revenue from product sales to direct customers and contract manufacturers is recognized upon shipment.</w:t>
      </w:r>
    </w:p>
    <w:p>
      <w:pPr>
        <w:spacing w:after="0" w:line="147"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portion of the Company's sales are made to distributors under agreements allowing certain rights of return and price protection related to the final selling price to the end customers. Accordingly, the Company defers revenue and cost of revenue on such sales until the distributors sell the product to the end customers. The net balance of deferred revenue less deferred cost of revenue associated with inventory shipped to a distributor but not yet sold to an end customer is recorded in the "deferred income on shipments to distributors" liability on the Consolidated Balance Sheet. Such net deferred income balance reflects the Company's estimate of the impact of rights of return and price protection.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Shipping and handling costs are classified as a component of cost of revenues in the Consolidated Statements of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 xml:space="preserve">The Company has stock-based compensation plans, which are more fully described in Note 12, </w:t>
      </w:r>
      <w:r>
        <w:rPr>
          <w:rFonts w:ascii="Arial" w:cs="Arial" w:eastAsia="Arial" w:hAnsi="Arial"/>
          <w:sz w:val="18"/>
          <w:szCs w:val="18"/>
          <w:i w:val="1"/>
          <w:iCs w:val="1"/>
          <w:color w:val="auto"/>
        </w:rPr>
        <w:t>Stock-Based Compensation</w:t>
      </w:r>
      <w:r>
        <w:rPr>
          <w:rFonts w:ascii="Arial" w:cs="Arial" w:eastAsia="Arial" w:hAnsi="Arial"/>
          <w:sz w:val="18"/>
          <w:szCs w:val="18"/>
          <w:color w:val="auto"/>
        </w:rPr>
        <w:t>. The Company accounts for those plans using a fair-value method and recognizes the expense in its Consolidated Statement of Income.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Research and development costs are expensed as incurred. Research and development expense consists primarily of personnel-related expenses, including stock compensation, new product mask, wafer, packaging and test costs, external consulting and services costs, equipment tooling, equipment depreciation, amortization of acquired intangible assets, as well as an allocated portion of our occupancy costs for such operations. Assets purchased to support the Company's ongoing research and development activities are capitalized when related to products which have achieved technological feasibility or that have alternative future uses, and are amortized over their estimated useful lives.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225" w:lineRule="exact"/>
        <w:rPr>
          <w:sz w:val="20"/>
          <w:szCs w:val="20"/>
          <w:color w:val="auto"/>
        </w:rPr>
      </w:pPr>
    </w:p>
    <w:p>
      <w:pPr>
        <w:ind w:right="860" w:firstLine="341"/>
        <w:spacing w:after="0" w:line="268" w:lineRule="auto"/>
        <w:rPr>
          <w:sz w:val="20"/>
          <w:szCs w:val="20"/>
          <w:color w:val="auto"/>
        </w:rPr>
      </w:pPr>
      <w:r>
        <w:rPr>
          <w:rFonts w:ascii="Arial" w:cs="Arial" w:eastAsia="Arial" w:hAnsi="Arial"/>
          <w:sz w:val="18"/>
          <w:szCs w:val="18"/>
          <w:color w:val="auto"/>
        </w:rPr>
        <w:t>Advertising costs are expensed as incurred. Advertising expenses were $1.4 million, $1.5 million and $1.7 million in fiscal 2010, 2009 and 2008,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Company accounts for income taxes using the asset and liability method whereby deferred tax asset and liability account balances are determined based on differences between financial reporting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January 1, 2011 (Continued)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and the tax bases of assets and liabilities and are measured using the enacted tax laws and related rates that will be in effect when the differences are expected to reverse. These differences result in deferred tax assets and liabilities, which are included in the Company's Consolidated Balance Sheet. The Company then assesses the likelihood that the deferred tax assets will be recovered from future taxable income. A valuation allowance is established against deferred tax assets to the extent the Company believes that recovery is not likely based on the level of historical taxable income and projections for future taxable income over the periods in which the temporary differences are deductible.</w:t>
      </w:r>
    </w:p>
    <w:p>
      <w:pPr>
        <w:spacing w:after="0" w:line="170" w:lineRule="exact"/>
        <w:rPr>
          <w:sz w:val="20"/>
          <w:szCs w:val="20"/>
          <w:color w:val="auto"/>
        </w:rPr>
      </w:pPr>
    </w:p>
    <w:p>
      <w:pPr>
        <w:ind w:right="20" w:firstLine="351"/>
        <w:spacing w:after="0" w:line="370" w:lineRule="auto"/>
        <w:rPr>
          <w:sz w:val="20"/>
          <w:szCs w:val="20"/>
          <w:color w:val="auto"/>
        </w:rPr>
      </w:pPr>
      <w:r>
        <w:rPr>
          <w:rFonts w:ascii="Arial" w:cs="Arial" w:eastAsia="Arial" w:hAnsi="Arial"/>
          <w:sz w:val="15"/>
          <w:szCs w:val="15"/>
          <w:color w:val="auto"/>
        </w:rPr>
        <w:t xml:space="preserve">Uncertain tax positions must meet a more-likely-than-not threshold to be recognized in the financial statements and the tax benefits recognized are measured based on the largest benefit that has a greater than 50% likelihood of being realized upon final settlement. See further discussion in Note 15, </w:t>
      </w:r>
      <w:r>
        <w:rPr>
          <w:rFonts w:ascii="Arial" w:cs="Arial" w:eastAsia="Arial" w:hAnsi="Arial"/>
          <w:sz w:val="15"/>
          <w:szCs w:val="15"/>
          <w:i w:val="1"/>
          <w:iCs w:val="1"/>
          <w:color w:val="auto"/>
        </w:rPr>
        <w:t>Income Taxes</w:t>
      </w:r>
      <w:r>
        <w:rPr>
          <w:rFonts w:ascii="Arial" w:cs="Arial" w:eastAsia="Arial" w:hAnsi="Arial"/>
          <w:sz w:val="15"/>
          <w:szCs w:val="15"/>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In December 2010, the Financial Accounting Standards Board (FASB) issued FASB Accounting Standards Update (ASU) No. 2010-29,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 (Topic 805)—Disclosure of Supplementary Pro Forma Information for Business Combinations</w:t>
      </w:r>
      <w:r>
        <w:rPr>
          <w:rFonts w:ascii="Arial" w:cs="Arial" w:eastAsia="Arial" w:hAnsi="Arial"/>
          <w:sz w:val="16"/>
          <w:szCs w:val="16"/>
          <w:color w:val="auto"/>
        </w:rPr>
        <w:t>. This ASU addresses diversity in practice about the</w:t>
      </w:r>
      <w:r>
        <w:rPr>
          <w:rFonts w:ascii="Arial" w:cs="Arial" w:eastAsia="Arial" w:hAnsi="Arial"/>
          <w:sz w:val="16"/>
          <w:szCs w:val="16"/>
          <w:i w:val="1"/>
          <w:iCs w:val="1"/>
          <w:color w:val="auto"/>
        </w:rPr>
        <w:t xml:space="preserve"> </w:t>
      </w:r>
      <w:r>
        <w:rPr>
          <w:rFonts w:ascii="Arial" w:cs="Arial" w:eastAsia="Arial" w:hAnsi="Arial"/>
          <w:sz w:val="16"/>
          <w:szCs w:val="16"/>
          <w:color w:val="auto"/>
        </w:rPr>
        <w:t>interpretation of the pro forma revenue and earnings disclosure requirements for business combinations. The ASU clarifies that when presenting comparative financial statements, an entity should disclose revenue and earnings of the combined entity as though the business combination(s) that occurred during the current year had occurred as of the beginning of the comparable prior annual reporting period only. The ASU also expands the supplemental pro forma disclosures under Topic 805 to include a description of the nature and amount of material, nonrecurring pro forma adjustments directly attributable to the business combination included in the reported pro forma revenue and earnings. ASU 2010-29 is effective prospectively for business combinations for which the acquisition date is on or after the beginning of the first annual reporting period beginning on or after December 15, 2010. The adoption of this ASU is not expected to have a material impact on the Company's financial statements.</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In January 2010, the FASB issued FASB ASU No. 2010-06, </w:t>
      </w:r>
      <w:r>
        <w:rPr>
          <w:rFonts w:ascii="Arial" w:cs="Arial" w:eastAsia="Arial" w:hAnsi="Arial"/>
          <w:sz w:val="16"/>
          <w:szCs w:val="16"/>
          <w:i w:val="1"/>
          <w:iCs w:val="1"/>
          <w:color w:val="auto"/>
        </w:rPr>
        <w:t>Fair Value Measurements and Disclosures (Topic 820)—Improving Disclosures about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 Measurements</w:t>
      </w:r>
      <w:r>
        <w:rPr>
          <w:rFonts w:ascii="Arial" w:cs="Arial" w:eastAsia="Arial" w:hAnsi="Arial"/>
          <w:sz w:val="16"/>
          <w:szCs w:val="16"/>
          <w:color w:val="auto"/>
        </w:rPr>
        <w:t>. This ASU requires new disclosures about significant transfers in and out of Levels 1 and 2 fair value measurements and separate disclosures</w:t>
      </w:r>
      <w:r>
        <w:rPr>
          <w:rFonts w:ascii="Arial" w:cs="Arial" w:eastAsia="Arial" w:hAnsi="Arial"/>
          <w:sz w:val="16"/>
          <w:szCs w:val="16"/>
          <w:i w:val="1"/>
          <w:iCs w:val="1"/>
          <w:color w:val="auto"/>
        </w:rPr>
        <w:t xml:space="preserve"> </w:t>
      </w:r>
      <w:r>
        <w:rPr>
          <w:rFonts w:ascii="Arial" w:cs="Arial" w:eastAsia="Arial" w:hAnsi="Arial"/>
          <w:sz w:val="16"/>
          <w:szCs w:val="16"/>
          <w:color w:val="auto"/>
        </w:rPr>
        <w:t>about purchases, sales, issuances and settlements relating to Level 3 fair value measurements. The ASU also clarifies existing disclosure requirements regarding inputs and valuation techniques, as well as the level of disaggregation for each class of assets and liabilities for which separate fair value measurements should be disclosed. The Company adopted ASU 2010-06 at the beginning of fiscal 2010, except for the separate disclosures about purchases, sales, issuances and settlements relating to Level 3 measurements, which is effective for the Company at the beginning of fiscal 2011. The adoption of this ASU did not have a material impact, and the deferred provisions of this ASU are not expected to have a material impact, on the Company's financial statements.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January 1, 2011 (Continued)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computation of basic and diluted earnings per share (in thousands, except per share data):</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2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8"/>
              </w:rPr>
              <w:t>January 1,</w:t>
            </w:r>
          </w:p>
        </w:tc>
        <w:tc>
          <w:tcPr>
            <w:tcW w:w="160" w:type="dxa"/>
            <w:vAlign w:val="bottom"/>
          </w:tcPr>
          <w:p>
            <w:pPr>
              <w:spacing w:after="0"/>
              <w:rPr>
                <w:sz w:val="11"/>
                <w:szCs w:val="11"/>
                <w:color w:val="auto"/>
              </w:rPr>
            </w:pPr>
          </w:p>
        </w:tc>
        <w:tc>
          <w:tcPr>
            <w:tcW w:w="7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January 2,</w:t>
            </w:r>
          </w:p>
        </w:tc>
        <w:tc>
          <w:tcPr>
            <w:tcW w:w="160" w:type="dxa"/>
            <w:vAlign w:val="bottom"/>
          </w:tcPr>
          <w:p>
            <w:pPr>
              <w:spacing w:after="0"/>
              <w:rPr>
                <w:sz w:val="11"/>
                <w:szCs w:val="11"/>
                <w:color w:val="auto"/>
              </w:rPr>
            </w:pPr>
          </w:p>
        </w:tc>
        <w:tc>
          <w:tcPr>
            <w:tcW w:w="7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January 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73,242</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73,092</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rPr>
              <w:t>Shares used in computing basic earnings per share</w:t>
            </w: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3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44,845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45,023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48,109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tcPr>
          <w:p>
            <w:pPr>
              <w:ind w:left="120"/>
              <w:spacing w:after="0"/>
              <w:rPr>
                <w:sz w:val="20"/>
                <w:szCs w:val="20"/>
                <w:color w:val="auto"/>
              </w:rPr>
            </w:pPr>
            <w:r>
              <w:rPr>
                <w:rFonts w:ascii="Arial" w:cs="Arial" w:eastAsia="Arial" w:hAnsi="Arial"/>
                <w:sz w:val="18"/>
                <w:szCs w:val="18"/>
                <w:color w:val="auto"/>
              </w:rPr>
              <w:t>Stock options and other stock-based awards</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1,897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1,519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diluted earnings per share</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tcPr>
          <w:p>
            <w:pPr>
              <w:ind w:left="12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1.57</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1.57</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0.67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20" w:firstLine="341"/>
        <w:spacing w:after="0" w:line="332" w:lineRule="auto"/>
        <w:rPr>
          <w:sz w:val="20"/>
          <w:szCs w:val="20"/>
          <w:color w:val="auto"/>
        </w:rPr>
      </w:pPr>
      <w:r>
        <w:rPr>
          <w:rFonts w:ascii="Arial" w:cs="Arial" w:eastAsia="Arial" w:hAnsi="Arial"/>
          <w:sz w:val="16"/>
          <w:szCs w:val="16"/>
          <w:color w:val="auto"/>
        </w:rPr>
        <w:t>Approximately 0.6 million, 2.1 million and 4.2 million weighted-average dilutive potential shares of common stock have been excluded from the diluted earnings per share calculation for fiscal years ended January 1, 2011, January 2, 2010 and January 3, 2009, respectively, as they were anti-dilutive.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Cash Equivalents and Investments</w:t>
      </w:r>
    </w:p>
    <w:p>
      <w:pPr>
        <w:spacing w:after="0" w:line="231" w:lineRule="exact"/>
        <w:rPr>
          <w:sz w:val="20"/>
          <w:szCs w:val="20"/>
          <w:color w:val="auto"/>
        </w:rPr>
      </w:pPr>
    </w:p>
    <w:p>
      <w:pPr>
        <w:ind w:firstLine="348"/>
        <w:spacing w:after="0" w:line="308" w:lineRule="auto"/>
        <w:rPr>
          <w:sz w:val="20"/>
          <w:szCs w:val="20"/>
          <w:color w:val="auto"/>
        </w:rPr>
      </w:pPr>
      <w:r>
        <w:rPr>
          <w:rFonts w:ascii="Arial" w:cs="Arial" w:eastAsia="Arial" w:hAnsi="Arial"/>
          <w:sz w:val="15"/>
          <w:szCs w:val="15"/>
          <w:color w:val="auto"/>
        </w:rPr>
        <w:t>The Company's cash equivalents and short-term investments as of January 1, 2011 consisted primarily of corporate bonds, U.S. Treasury bills, money market funds, variable-rate demand notes, municipal bonds, U.S. government agency bonds and discount notes, international government bonds, certificates of deposit and commercial paper. The Company's long-term investments consist of auction-rate securities. Early in fiscal 2008, auctions for many of the Company's auction-rate securities failed because sell orders exceeded buy orders. As of January 1, 2011, the Company held $19.7 million par value auction-rate securities, all of which have experienced failed auctions. The underlying assets of the securities consisted of student loans and municipal bonds, of which $17.7 million were guaranteed by the U.S. government and the remaining $2.0 million were privately insured. As of January 1, 2011, $17.7 million of the auction-rate securities had credit ratings of AAA and $2.0 million had a credit rating of A. These securities had contractual maturity dates ranging from 2029 to 2046 and with current yields of 0.6% to 3.3% per year at January 1, 2011. The Company is receiving the underlying cash flows on all of its auction-rate securities. The principal amounts associated with failed auctions are not expected to be accessible until a successful auction occurs, the issuer redeems the securities, a buyer is found outside of the auction process or the underlying securities mature. The Company is unable to predict if these funds will become available before their maturity dates.</w:t>
      </w:r>
    </w:p>
    <w:p>
      <w:pPr>
        <w:spacing w:after="0" w:line="163" w:lineRule="exact"/>
        <w:rPr>
          <w:sz w:val="20"/>
          <w:szCs w:val="20"/>
          <w:color w:val="auto"/>
        </w:rPr>
      </w:pPr>
    </w:p>
    <w:p>
      <w:pPr>
        <w:jc w:val="both"/>
        <w:ind w:right="100" w:firstLine="348"/>
        <w:spacing w:after="0" w:line="256" w:lineRule="auto"/>
        <w:rPr>
          <w:sz w:val="20"/>
          <w:szCs w:val="20"/>
          <w:color w:val="auto"/>
        </w:rPr>
      </w:pPr>
      <w:r>
        <w:rPr>
          <w:rFonts w:ascii="Arial" w:cs="Arial" w:eastAsia="Arial" w:hAnsi="Arial"/>
          <w:sz w:val="18"/>
          <w:szCs w:val="18"/>
          <w:color w:val="auto"/>
        </w:rPr>
        <w:t>The Company does not expect to need access to the capital represented by any of its auction-rate securities prior to their maturities. The Company does not intend to sell, and believes it is not more likely than not that it will be required to sell, its auction-rate securities before their anticipated recovery in market value or final settlement at the underlying par value. The Company believes that the credit ratings and credit support of the security issuers indicate that they have the ability to settle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1, 2011 (Continued)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Cash Equivalents and Investments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at par value. As such, the Company has determined that no other-than-temporary impairment losses existed as of January 1, 2011.</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cash, cash equivalents and investments consist of the following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January 1, 2011</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1"/>
                <w:szCs w:val="11"/>
                <w:color w:val="auto"/>
              </w:rPr>
            </w:pPr>
          </w:p>
        </w:tc>
        <w:tc>
          <w:tcPr>
            <w:tcW w:w="640" w:type="dxa"/>
            <w:vAlign w:val="bottom"/>
          </w:tcPr>
          <w:p>
            <w:pPr>
              <w:jc w:val="right"/>
              <w:ind w:right="154"/>
              <w:spacing w:after="0" w:line="129" w:lineRule="exact"/>
              <w:rPr>
                <w:sz w:val="20"/>
                <w:szCs w:val="20"/>
                <w:color w:val="auto"/>
              </w:rPr>
            </w:pPr>
            <w:r>
              <w:rPr>
                <w:rFonts w:ascii="Arial" w:cs="Arial" w:eastAsia="Arial" w:hAnsi="Arial"/>
                <w:sz w:val="14"/>
                <w:szCs w:val="14"/>
                <w:b w:val="1"/>
                <w:bCs w:val="1"/>
                <w:color w:val="auto"/>
                <w:w w:val="93"/>
              </w:rPr>
              <w:t>Gross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Unrealized</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8"/>
              </w:rPr>
              <w:t>Losses</w:t>
            </w:r>
          </w:p>
        </w:tc>
        <w:tc>
          <w:tcPr>
            <w:tcW w:w="140" w:type="dxa"/>
            <w:vAlign w:val="bottom"/>
          </w:tcPr>
          <w:p>
            <w:pPr>
              <w:spacing w:after="0"/>
              <w:rPr>
                <w:sz w:val="14"/>
                <w:szCs w:val="14"/>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w w:val="97"/>
              </w:rPr>
              <w:t>Gains</w:t>
            </w:r>
          </w:p>
        </w:tc>
        <w:tc>
          <w:tcPr>
            <w:tcW w:w="160" w:type="dxa"/>
            <w:vAlign w:val="bottom"/>
          </w:tcPr>
          <w:p>
            <w:pPr>
              <w:spacing w:after="0"/>
              <w:rPr>
                <w:sz w:val="14"/>
                <w:szCs w:val="14"/>
                <w:color w:val="auto"/>
              </w:rPr>
            </w:pPr>
          </w:p>
        </w:tc>
        <w:tc>
          <w:tcPr>
            <w:tcW w:w="2080" w:type="dxa"/>
            <w:vAlign w:val="bottom"/>
            <w:gridSpan w:val="4"/>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9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Cash on hand</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40,644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40,644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Available-for-sale securities:</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tcPr>
          <w:p>
            <w:pPr>
              <w:ind w:left="260"/>
              <w:spacing w:after="0"/>
              <w:rPr>
                <w:sz w:val="20"/>
                <w:szCs w:val="20"/>
                <w:color w:val="auto"/>
              </w:rPr>
            </w:pPr>
            <w:r>
              <w:rPr>
                <w:rFonts w:ascii="Arial" w:cs="Arial" w:eastAsia="Arial" w:hAnsi="Arial"/>
                <w:sz w:val="18"/>
                <w:szCs w:val="18"/>
                <w:color w:val="auto"/>
              </w:rPr>
              <w:t>U.S. Treasury bills</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50,096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50,097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Money market funds</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4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2,659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2,659</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available-for-sale securities</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97,923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0" w:type="dxa"/>
            <w:vAlign w:val="bottom"/>
            <w:gridSpan w:val="2"/>
            <w:vMerge w:val="restart"/>
          </w:tcPr>
          <w:p>
            <w:pPr>
              <w:ind w:left="1140"/>
              <w:spacing w:after="0"/>
              <w:rPr>
                <w:sz w:val="20"/>
                <w:szCs w:val="20"/>
                <w:color w:val="auto"/>
              </w:rPr>
            </w:pPr>
            <w:r>
              <w:rPr>
                <w:rFonts w:ascii="Arial" w:cs="Arial" w:eastAsia="Arial" w:hAnsi="Arial"/>
                <w:sz w:val="18"/>
                <w:szCs w:val="18"/>
                <w:color w:val="auto"/>
              </w:rPr>
              <w:t>Total cash and cash equivalents</w:t>
            </w:r>
          </w:p>
        </w:tc>
        <w:tc>
          <w:tcPr>
            <w:tcW w:w="20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00" w:type="dxa"/>
            <w:vAlign w:val="bottom"/>
            <w:gridSpan w:val="2"/>
            <w:vMerge w:val="continue"/>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138,566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138,567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Short-term Investments:</w:t>
            </w: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Available-for-sale securities:</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 bonds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88,518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tcPr>
          <w:p>
            <w:pPr>
              <w:ind w:left="260"/>
              <w:spacing w:after="0"/>
              <w:rPr>
                <w:sz w:val="20"/>
                <w:szCs w:val="20"/>
                <w:color w:val="auto"/>
              </w:rPr>
            </w:pPr>
            <w:r>
              <w:rPr>
                <w:rFonts w:ascii="Arial" w:cs="Arial" w:eastAsia="Arial" w:hAnsi="Arial"/>
                <w:sz w:val="18"/>
                <w:szCs w:val="18"/>
                <w:color w:val="auto"/>
              </w:rPr>
              <w:t>Variable-rate demand notes</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39,425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39,425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Municipal bonds</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tcPr>
          <w:p>
            <w:pPr>
              <w:ind w:left="260"/>
              <w:spacing w:after="0"/>
              <w:rPr>
                <w:sz w:val="20"/>
                <w:szCs w:val="20"/>
                <w:color w:val="auto"/>
              </w:rPr>
            </w:pPr>
            <w:r>
              <w:rPr>
                <w:rFonts w:ascii="Arial" w:cs="Arial" w:eastAsia="Arial" w:hAnsi="Arial"/>
                <w:sz w:val="18"/>
                <w:szCs w:val="18"/>
                <w:color w:val="auto"/>
              </w:rPr>
              <w:t>U.S. government agency</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34,635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34,680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International government bonds</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tcPr>
          <w:p>
            <w:pPr>
              <w:ind w:left="260"/>
              <w:spacing w:after="0"/>
              <w:rPr>
                <w:sz w:val="20"/>
                <w:szCs w:val="20"/>
                <w:color w:val="auto"/>
              </w:rPr>
            </w:pPr>
            <w:r>
              <w:rPr>
                <w:rFonts w:ascii="Arial" w:cs="Arial" w:eastAsia="Arial" w:hAnsi="Arial"/>
                <w:sz w:val="18"/>
                <w:szCs w:val="18"/>
                <w:color w:val="auto"/>
              </w:rPr>
              <w:t>U.S. Treasury bills</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6,999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Certificates of deposit</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4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2,687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2,687</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short-term investments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226,872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227,295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Long-term Investments:</w:t>
            </w:r>
          </w:p>
        </w:tc>
        <w:tc>
          <w:tcPr>
            <w:tcW w:w="1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continu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gridSpan w:val="2"/>
            <w:vMerge w:val="continue"/>
          </w:tcPr>
          <w:p>
            <w:pPr>
              <w:spacing w:after="0"/>
              <w:rPr>
                <w:sz w:val="17"/>
                <w:szCs w:val="17"/>
                <w:color w:val="auto"/>
              </w:rPr>
            </w:pP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Available-for-sale securities:</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40" w:type="dxa"/>
            <w:vAlign w:val="bottom"/>
          </w:tcPr>
          <w:p>
            <w:pPr>
              <w:ind w:left="260"/>
              <w:spacing w:after="0"/>
              <w:rPr>
                <w:sz w:val="20"/>
                <w:szCs w:val="20"/>
                <w:color w:val="auto"/>
              </w:rPr>
            </w:pPr>
            <w:r>
              <w:rPr>
                <w:rFonts w:ascii="Arial" w:cs="Arial" w:eastAsia="Arial" w:hAnsi="Arial"/>
                <w:sz w:val="18"/>
                <w:szCs w:val="18"/>
                <w:color w:val="auto"/>
              </w:rPr>
              <w:t>Auction rate securities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19,725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(2,225)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17,500</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investments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60" w:type="dxa"/>
            <w:vAlign w:val="bottom"/>
            <w:gridSpan w:val="2"/>
          </w:tcPr>
          <w:p>
            <w:pPr>
              <w:jc w:val="right"/>
              <w:ind w:right="692"/>
              <w:spacing w:after="0"/>
              <w:rPr>
                <w:sz w:val="20"/>
                <w:szCs w:val="20"/>
                <w:color w:val="auto"/>
              </w:rPr>
            </w:pPr>
            <w:r>
              <w:rPr>
                <w:rFonts w:ascii="Arial" w:cs="Arial" w:eastAsia="Arial" w:hAnsi="Arial"/>
                <w:sz w:val="18"/>
                <w:szCs w:val="18"/>
                <w:color w:val="auto"/>
              </w:rPr>
              <w:t>F-13</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1, 2011 (Continued)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Cash Equivalents and Investments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4"/>
                <w:szCs w:val="14"/>
                <w:b w:val="1"/>
                <w:bCs w:val="1"/>
                <w:color w:val="auto"/>
              </w:rPr>
              <w:t>January 2, 2010</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1"/>
                <w:szCs w:val="11"/>
                <w:color w:val="auto"/>
              </w:rPr>
            </w:pPr>
          </w:p>
        </w:tc>
        <w:tc>
          <w:tcPr>
            <w:tcW w:w="640" w:type="dxa"/>
            <w:vAlign w:val="bottom"/>
          </w:tcPr>
          <w:p>
            <w:pPr>
              <w:jc w:val="right"/>
              <w:ind w:right="155"/>
              <w:spacing w:after="0" w:line="129" w:lineRule="exact"/>
              <w:rPr>
                <w:sz w:val="20"/>
                <w:szCs w:val="20"/>
                <w:color w:val="auto"/>
              </w:rPr>
            </w:pPr>
            <w:r>
              <w:rPr>
                <w:rFonts w:ascii="Arial" w:cs="Arial" w:eastAsia="Arial" w:hAnsi="Arial"/>
                <w:sz w:val="14"/>
                <w:szCs w:val="14"/>
                <w:b w:val="1"/>
                <w:bCs w:val="1"/>
                <w:color w:val="auto"/>
                <w:w w:val="93"/>
              </w:rPr>
              <w:t>Gross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Unrealized</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8"/>
              </w:rPr>
              <w:t>Losses</w:t>
            </w:r>
          </w:p>
        </w:tc>
        <w:tc>
          <w:tcPr>
            <w:tcW w:w="14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w w:val="97"/>
              </w:rPr>
              <w:t>Gains</w:t>
            </w:r>
          </w:p>
        </w:tc>
        <w:tc>
          <w:tcPr>
            <w:tcW w:w="160" w:type="dxa"/>
            <w:vAlign w:val="bottom"/>
          </w:tcPr>
          <w:p>
            <w:pPr>
              <w:spacing w:after="0"/>
              <w:rPr>
                <w:sz w:val="14"/>
                <w:szCs w:val="14"/>
                <w:color w:val="auto"/>
              </w:rPr>
            </w:pPr>
          </w:p>
        </w:tc>
        <w:tc>
          <w:tcPr>
            <w:tcW w:w="2080" w:type="dxa"/>
            <w:vAlign w:val="bottom"/>
            <w:gridSpan w:val="4"/>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7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ind w:left="120"/>
              <w:spacing w:after="0"/>
              <w:rPr>
                <w:sz w:val="20"/>
                <w:szCs w:val="20"/>
                <w:color w:val="auto"/>
              </w:rPr>
            </w:pPr>
            <w:r>
              <w:rPr>
                <w:rFonts w:ascii="Arial" w:cs="Arial" w:eastAsia="Arial" w:hAnsi="Arial"/>
                <w:sz w:val="18"/>
                <w:szCs w:val="18"/>
                <w:color w:val="auto"/>
              </w:rPr>
              <w:t>Cash on hand</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21,622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21,622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Available-for-sale securities:</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167,139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167,139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U.S. Treasury bills</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640" w:type="dxa"/>
            <w:vAlign w:val="bottom"/>
          </w:tcPr>
          <w:p>
            <w:pPr>
              <w:ind w:left="260"/>
              <w:spacing w:after="0"/>
              <w:rPr>
                <w:sz w:val="20"/>
                <w:szCs w:val="20"/>
                <w:color w:val="auto"/>
              </w:rPr>
            </w:pPr>
            <w:r>
              <w:rPr>
                <w:rFonts w:ascii="Arial" w:cs="Arial" w:eastAsia="Arial" w:hAnsi="Arial"/>
                <w:sz w:val="18"/>
                <w:szCs w:val="18"/>
                <w:color w:val="auto"/>
              </w:rPr>
              <w:t>U.S. government agency</w:t>
            </w: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1,976</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available-for-sale securities</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174,139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174,115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00" w:type="dxa"/>
            <w:vAlign w:val="bottom"/>
            <w:gridSpan w:val="2"/>
            <w:vMerge w:val="restart"/>
          </w:tcPr>
          <w:p>
            <w:pPr>
              <w:ind w:left="1140"/>
              <w:spacing w:after="0"/>
              <w:rPr>
                <w:sz w:val="20"/>
                <w:szCs w:val="20"/>
                <w:color w:val="auto"/>
              </w:rPr>
            </w:pPr>
            <w:r>
              <w:rPr>
                <w:rFonts w:ascii="Arial" w:cs="Arial" w:eastAsia="Arial" w:hAnsi="Arial"/>
                <w:sz w:val="18"/>
                <w:szCs w:val="18"/>
                <w:color w:val="auto"/>
              </w:rPr>
              <w:t>Total cash and cash equivalents</w:t>
            </w:r>
          </w:p>
        </w:tc>
        <w:tc>
          <w:tcPr>
            <w:tcW w:w="18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00" w:type="dxa"/>
            <w:vAlign w:val="bottom"/>
            <w:gridSpan w:val="2"/>
            <w:vMerge w:val="continue"/>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195,761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195,737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Short-term Investments:</w:t>
            </w:r>
          </w:p>
        </w:tc>
        <w:tc>
          <w:tcPr>
            <w:tcW w:w="1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ind w:left="120"/>
              <w:spacing w:after="0"/>
              <w:rPr>
                <w:sz w:val="20"/>
                <w:szCs w:val="20"/>
                <w:color w:val="auto"/>
              </w:rPr>
            </w:pPr>
            <w:r>
              <w:rPr>
                <w:rFonts w:ascii="Arial" w:cs="Arial" w:eastAsia="Arial" w:hAnsi="Arial"/>
                <w:sz w:val="18"/>
                <w:szCs w:val="18"/>
                <w:color w:val="auto"/>
              </w:rPr>
              <w:t>Available-for-sale securities: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 bonds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74,486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ind w:left="260"/>
              <w:spacing w:after="0"/>
              <w:rPr>
                <w:sz w:val="20"/>
                <w:szCs w:val="20"/>
                <w:color w:val="auto"/>
              </w:rPr>
            </w:pPr>
            <w:r>
              <w:rPr>
                <w:rFonts w:ascii="Arial" w:cs="Arial" w:eastAsia="Arial" w:hAnsi="Arial"/>
                <w:sz w:val="18"/>
                <w:szCs w:val="18"/>
                <w:color w:val="auto"/>
              </w:rPr>
              <w:t>U.S. government agency</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41,790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41,821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Municipal bonds</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ind w:left="260"/>
              <w:spacing w:after="0"/>
              <w:rPr>
                <w:sz w:val="20"/>
                <w:szCs w:val="20"/>
                <w:color w:val="auto"/>
              </w:rPr>
            </w:pPr>
            <w:r>
              <w:rPr>
                <w:rFonts w:ascii="Arial" w:cs="Arial" w:eastAsia="Arial" w:hAnsi="Arial"/>
                <w:sz w:val="18"/>
                <w:szCs w:val="18"/>
                <w:color w:val="auto"/>
              </w:rPr>
              <w:t>U.S. Treasury bills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21,488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21,495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International government bonds</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64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2,699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2,699</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available-for-sale securities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190,276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190,494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640" w:type="dxa"/>
            <w:vAlign w:val="bottom"/>
            <w:vMerge w:val="restart"/>
          </w:tcPr>
          <w:p>
            <w:pPr>
              <w:ind w:left="120"/>
              <w:spacing w:after="0"/>
              <w:rPr>
                <w:sz w:val="20"/>
                <w:szCs w:val="20"/>
                <w:color w:val="auto"/>
              </w:rPr>
            </w:pPr>
            <w:r>
              <w:rPr>
                <w:rFonts w:ascii="Arial" w:cs="Arial" w:eastAsia="Arial" w:hAnsi="Arial"/>
                <w:sz w:val="18"/>
                <w:szCs w:val="18"/>
                <w:color w:val="auto"/>
              </w:rPr>
              <w:t>Trading securities:</w:t>
            </w:r>
          </w:p>
        </w:tc>
        <w:tc>
          <w:tcPr>
            <w:tcW w:w="1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40" w:type="dxa"/>
            <w:vAlign w:val="bottom"/>
            <w:vMerge w:val="continu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3640" w:type="dxa"/>
            <w:vAlign w:val="bottom"/>
            <w:vMerge w:val="continue"/>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Auction rate securities and put option</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00" w:type="dxa"/>
            <w:vAlign w:val="bottom"/>
            <w:gridSpan w:val="2"/>
            <w:vMerge w:val="restart"/>
          </w:tcPr>
          <w:p>
            <w:pPr>
              <w:ind w:left="1140"/>
              <w:spacing w:after="0"/>
              <w:rPr>
                <w:sz w:val="20"/>
                <w:szCs w:val="20"/>
                <w:color w:val="auto"/>
              </w:rPr>
            </w:pPr>
            <w:r>
              <w:rPr>
                <w:rFonts w:ascii="Arial" w:cs="Arial" w:eastAsia="Arial" w:hAnsi="Arial"/>
                <w:sz w:val="18"/>
                <w:szCs w:val="18"/>
                <w:color w:val="auto"/>
              </w:rPr>
              <w:t>Total short-term investments</w:t>
            </w: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00" w:type="dxa"/>
            <w:vAlign w:val="bottom"/>
            <w:gridSpan w:val="2"/>
            <w:vMerge w:val="continue"/>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214,486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Long-term Investments:</w:t>
            </w:r>
          </w:p>
        </w:tc>
        <w:tc>
          <w:tcPr>
            <w:tcW w:w="1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ind w:left="120"/>
              <w:spacing w:after="0"/>
              <w:rPr>
                <w:sz w:val="20"/>
                <w:szCs w:val="20"/>
                <w:color w:val="auto"/>
              </w:rPr>
            </w:pPr>
            <w:r>
              <w:rPr>
                <w:rFonts w:ascii="Arial" w:cs="Arial" w:eastAsia="Arial" w:hAnsi="Arial"/>
                <w:sz w:val="18"/>
                <w:szCs w:val="18"/>
                <w:color w:val="auto"/>
              </w:rPr>
              <w:t>Available-for-sale securities: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Auction rate securities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00" w:type="dxa"/>
            <w:vAlign w:val="bottom"/>
            <w:gridSpan w:val="2"/>
            <w:vMerge w:val="restart"/>
          </w:tcPr>
          <w:p>
            <w:pPr>
              <w:ind w:left="1140"/>
              <w:spacing w:after="0"/>
              <w:rPr>
                <w:sz w:val="20"/>
                <w:szCs w:val="20"/>
                <w:color w:val="auto"/>
              </w:rPr>
            </w:pPr>
            <w:r>
              <w:rPr>
                <w:rFonts w:ascii="Arial" w:cs="Arial" w:eastAsia="Arial" w:hAnsi="Arial"/>
                <w:sz w:val="18"/>
                <w:szCs w:val="18"/>
                <w:color w:val="auto"/>
              </w:rPr>
              <w:t>Total long-term investments</w:t>
            </w:r>
          </w:p>
        </w:tc>
        <w:tc>
          <w:tcPr>
            <w:tcW w:w="18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00" w:type="dxa"/>
            <w:vAlign w:val="bottom"/>
            <w:gridSpan w:val="2"/>
            <w:vMerge w:val="continue"/>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27,325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(2,649)</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24,676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860" w:type="dxa"/>
            <w:vAlign w:val="bottom"/>
            <w:gridSpan w:val="2"/>
          </w:tcPr>
          <w:p>
            <w:pPr>
              <w:jc w:val="right"/>
              <w:ind w:right="692"/>
              <w:spacing w:after="0"/>
              <w:rPr>
                <w:sz w:val="20"/>
                <w:szCs w:val="20"/>
                <w:color w:val="auto"/>
              </w:rPr>
            </w:pPr>
            <w:r>
              <w:rPr>
                <w:rFonts w:ascii="Arial" w:cs="Arial" w:eastAsia="Arial" w:hAnsi="Arial"/>
                <w:sz w:val="18"/>
                <w:szCs w:val="18"/>
                <w:color w:val="auto"/>
              </w:rPr>
              <w:t>F-14</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1, 2011 (Continued)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Cash Equivalents and Investments (Continued)</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available-for-sale investments that were in a continuous unrealized loss position, aggregated by length of time that individual securities have been in a continuous loss position, were as follows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9"/>
              </w:rPr>
              <w:t>Less Than 12 Months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ind w:left="60"/>
              <w:spacing w:after="0"/>
              <w:rPr>
                <w:sz w:val="20"/>
                <w:szCs w:val="20"/>
                <w:color w:val="auto"/>
              </w:rPr>
            </w:pPr>
            <w:r>
              <w:rPr>
                <w:rFonts w:ascii="Arial" w:cs="Arial" w:eastAsia="Arial" w:hAnsi="Arial"/>
                <w:sz w:val="14"/>
                <w:szCs w:val="14"/>
                <w:b w:val="1"/>
                <w:bCs w:val="1"/>
                <w:color w:val="auto"/>
              </w:rPr>
              <w:t>12 Months or Greater</w:t>
            </w:r>
          </w:p>
        </w:tc>
        <w:tc>
          <w:tcPr>
            <w:tcW w:w="14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57"/>
              <w:spacing w:after="0" w:line="129" w:lineRule="exact"/>
              <w:rPr>
                <w:sz w:val="20"/>
                <w:szCs w:val="20"/>
                <w:color w:val="auto"/>
              </w:rPr>
            </w:pPr>
            <w:r>
              <w:rPr>
                <w:rFonts w:ascii="Arial" w:cs="Arial" w:eastAsia="Arial" w:hAnsi="Arial"/>
                <w:sz w:val="14"/>
                <w:szCs w:val="14"/>
                <w:b w:val="1"/>
                <w:bCs w:val="1"/>
                <w:color w:val="auto"/>
                <w:w w:val="93"/>
              </w:rPr>
              <w:t>Gross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57"/>
              <w:spacing w:after="0" w:line="129"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97"/>
              <w:spacing w:after="0" w:line="129"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9"/>
              <w:spacing w:after="0" w:line="14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2"/>
                <w:szCs w:val="12"/>
                <w:color w:val="auto"/>
              </w:rPr>
            </w:pPr>
          </w:p>
        </w:tc>
        <w:tc>
          <w:tcPr>
            <w:tcW w:w="90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59"/>
              <w:spacing w:after="0" w:line="14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2"/>
                <w:szCs w:val="12"/>
                <w:color w:val="auto"/>
              </w:rPr>
            </w:pPr>
          </w:p>
        </w:tc>
        <w:tc>
          <w:tcPr>
            <w:tcW w:w="9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Unrealized</w:t>
            </w:r>
          </w:p>
        </w:tc>
        <w:tc>
          <w:tcPr>
            <w:tcW w:w="140" w:type="dxa"/>
            <w:vAlign w:val="bottom"/>
          </w:tcPr>
          <w:p>
            <w:pPr>
              <w:spacing w:after="0"/>
              <w:rPr>
                <w:sz w:val="12"/>
                <w:szCs w:val="12"/>
                <w:color w:val="auto"/>
              </w:rPr>
            </w:pPr>
          </w:p>
        </w:tc>
        <w:tc>
          <w:tcPr>
            <w:tcW w:w="560" w:type="dxa"/>
            <w:vAlign w:val="bottom"/>
          </w:tcPr>
          <w:p>
            <w:pPr>
              <w:jc w:val="right"/>
              <w:ind w:right="139"/>
              <w:spacing w:after="0" w:line="14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Unrealized</w:t>
            </w:r>
          </w:p>
        </w:tc>
        <w:tc>
          <w:tcPr>
            <w:tcW w:w="0" w:type="dxa"/>
            <w:vAlign w:val="bottom"/>
          </w:tcPr>
          <w:p>
            <w:pPr>
              <w:spacing w:after="0"/>
              <w:rPr>
                <w:sz w:val="1"/>
                <w:szCs w:val="1"/>
                <w:color w:val="auto"/>
              </w:rPr>
            </w:pPr>
          </w:p>
        </w:tc>
      </w:tr>
      <w:tr>
        <w:trPr>
          <w:trHeight w:val="161"/>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As of January 1, 2011</w:t>
            </w:r>
          </w:p>
        </w:tc>
        <w:tc>
          <w:tcPr>
            <w:tcW w:w="140" w:type="dxa"/>
            <w:vAlign w:val="bottom"/>
          </w:tcPr>
          <w:p>
            <w:pPr>
              <w:spacing w:after="0"/>
              <w:rPr>
                <w:sz w:val="14"/>
                <w:szCs w:val="14"/>
                <w:color w:val="auto"/>
              </w:rPr>
            </w:pPr>
          </w:p>
        </w:tc>
        <w:tc>
          <w:tcPr>
            <w:tcW w:w="560" w:type="dxa"/>
            <w:vAlign w:val="bottom"/>
          </w:tcPr>
          <w:p>
            <w:pPr>
              <w:jc w:val="right"/>
              <w:ind w:right="99"/>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2"/>
              </w:rPr>
              <w:t>Losses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8"/>
              </w:rPr>
              <w:t>Losses</w:t>
            </w:r>
          </w:p>
        </w:tc>
        <w:tc>
          <w:tcPr>
            <w:tcW w:w="140" w:type="dxa"/>
            <w:vAlign w:val="bottom"/>
          </w:tcPr>
          <w:p>
            <w:pPr>
              <w:spacing w:after="0"/>
              <w:rPr>
                <w:sz w:val="14"/>
                <w:szCs w:val="14"/>
                <w:color w:val="auto"/>
              </w:rPr>
            </w:pPr>
          </w:p>
        </w:tc>
        <w:tc>
          <w:tcPr>
            <w:tcW w:w="560" w:type="dxa"/>
            <w:vAlign w:val="bottom"/>
          </w:tcPr>
          <w:p>
            <w:pPr>
              <w:jc w:val="right"/>
              <w:ind w:right="99"/>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w w:val="99"/>
              </w:rPr>
              <w:t>Municipal bonds</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22,272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22,272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17,538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18,836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(2,225)</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U.S. government agency</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17,007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17,007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58,386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18,798</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(2,227)</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77,184</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9"/>
              </w:rPr>
              <w:t>Less Than 12 Months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ind w:left="60"/>
              <w:spacing w:after="0"/>
              <w:rPr>
                <w:sz w:val="20"/>
                <w:szCs w:val="20"/>
                <w:color w:val="auto"/>
              </w:rPr>
            </w:pPr>
            <w:r>
              <w:rPr>
                <w:rFonts w:ascii="Arial" w:cs="Arial" w:eastAsia="Arial" w:hAnsi="Arial"/>
                <w:sz w:val="14"/>
                <w:szCs w:val="14"/>
                <w:b w:val="1"/>
                <w:bCs w:val="1"/>
                <w:color w:val="auto"/>
              </w:rPr>
              <w:t>12 Months or Greater</w:t>
            </w:r>
          </w:p>
        </w:tc>
        <w:tc>
          <w:tcPr>
            <w:tcW w:w="14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57"/>
              <w:spacing w:after="0" w:line="129" w:lineRule="exact"/>
              <w:rPr>
                <w:sz w:val="20"/>
                <w:szCs w:val="20"/>
                <w:color w:val="auto"/>
              </w:rPr>
            </w:pPr>
            <w:r>
              <w:rPr>
                <w:rFonts w:ascii="Arial" w:cs="Arial" w:eastAsia="Arial" w:hAnsi="Arial"/>
                <w:sz w:val="14"/>
                <w:szCs w:val="14"/>
                <w:b w:val="1"/>
                <w:bCs w:val="1"/>
                <w:color w:val="auto"/>
                <w:w w:val="93"/>
              </w:rPr>
              <w:t>Gross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57"/>
              <w:spacing w:after="0" w:line="129"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97"/>
              <w:spacing w:after="0" w:line="129"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9"/>
              <w:spacing w:after="0" w:line="14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2"/>
                <w:szCs w:val="12"/>
                <w:color w:val="auto"/>
              </w:rPr>
            </w:pPr>
          </w:p>
        </w:tc>
        <w:tc>
          <w:tcPr>
            <w:tcW w:w="90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59"/>
              <w:spacing w:after="0" w:line="14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2"/>
                <w:szCs w:val="12"/>
                <w:color w:val="auto"/>
              </w:rPr>
            </w:pPr>
          </w:p>
        </w:tc>
        <w:tc>
          <w:tcPr>
            <w:tcW w:w="9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Unrealized</w:t>
            </w:r>
          </w:p>
        </w:tc>
        <w:tc>
          <w:tcPr>
            <w:tcW w:w="140" w:type="dxa"/>
            <w:vAlign w:val="bottom"/>
          </w:tcPr>
          <w:p>
            <w:pPr>
              <w:spacing w:after="0"/>
              <w:rPr>
                <w:sz w:val="12"/>
                <w:szCs w:val="12"/>
                <w:color w:val="auto"/>
              </w:rPr>
            </w:pPr>
          </w:p>
        </w:tc>
        <w:tc>
          <w:tcPr>
            <w:tcW w:w="560" w:type="dxa"/>
            <w:vAlign w:val="bottom"/>
          </w:tcPr>
          <w:p>
            <w:pPr>
              <w:jc w:val="right"/>
              <w:ind w:right="139"/>
              <w:spacing w:after="0" w:line="14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Unrealized</w:t>
            </w:r>
          </w:p>
        </w:tc>
        <w:tc>
          <w:tcPr>
            <w:tcW w:w="0" w:type="dxa"/>
            <w:vAlign w:val="bottom"/>
          </w:tcPr>
          <w:p>
            <w:pPr>
              <w:spacing w:after="0"/>
              <w:rPr>
                <w:sz w:val="1"/>
                <w:szCs w:val="1"/>
                <w:color w:val="auto"/>
              </w:rPr>
            </w:pPr>
          </w:p>
        </w:tc>
      </w:tr>
      <w:tr>
        <w:trPr>
          <w:trHeight w:val="161"/>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As of January 2, 2010</w:t>
            </w:r>
          </w:p>
        </w:tc>
        <w:tc>
          <w:tcPr>
            <w:tcW w:w="140" w:type="dxa"/>
            <w:vAlign w:val="bottom"/>
          </w:tcPr>
          <w:p>
            <w:pPr>
              <w:spacing w:after="0"/>
              <w:rPr>
                <w:sz w:val="14"/>
                <w:szCs w:val="14"/>
                <w:color w:val="auto"/>
              </w:rPr>
            </w:pPr>
          </w:p>
        </w:tc>
        <w:tc>
          <w:tcPr>
            <w:tcW w:w="560" w:type="dxa"/>
            <w:vAlign w:val="bottom"/>
          </w:tcPr>
          <w:p>
            <w:pPr>
              <w:jc w:val="right"/>
              <w:ind w:right="99"/>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2"/>
              </w:rPr>
              <w:t>Losses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8"/>
              </w:rPr>
              <w:t>Losses</w:t>
            </w:r>
          </w:p>
        </w:tc>
        <w:tc>
          <w:tcPr>
            <w:tcW w:w="140" w:type="dxa"/>
            <w:vAlign w:val="bottom"/>
          </w:tcPr>
          <w:p>
            <w:pPr>
              <w:spacing w:after="0"/>
              <w:rPr>
                <w:sz w:val="14"/>
                <w:szCs w:val="14"/>
                <w:color w:val="auto"/>
              </w:rPr>
            </w:pPr>
          </w:p>
        </w:tc>
        <w:tc>
          <w:tcPr>
            <w:tcW w:w="560" w:type="dxa"/>
            <w:vAlign w:val="bottom"/>
          </w:tcPr>
          <w:p>
            <w:pPr>
              <w:jc w:val="right"/>
              <w:ind w:right="99"/>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w w:val="96"/>
              </w:rPr>
              <w:t>Corporate bonds</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39,513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39,513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Auction rate securities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24,676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(2,649)</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24,676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 government bonds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U.S. government agency</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51,347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24,676</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(2,649)</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76,023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gross unrealized losses as of January 1, 2011 and January 2, 2010 were due primarily to the illiquidity of the Company's auction-rate securities and, to a lesser extent, to changes in market interest rates.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summarizes the contractual underlying maturities of the Company's available-for-sale investments at January 1, 2011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80" w:type="dxa"/>
            <w:vAlign w:val="bottom"/>
            <w:gridSpan w:val="3"/>
          </w:tcPr>
          <w:p>
            <w:pPr>
              <w:ind w:left="120"/>
              <w:spacing w:after="0"/>
              <w:rPr>
                <w:sz w:val="20"/>
                <w:szCs w:val="20"/>
                <w:color w:val="auto"/>
              </w:rPr>
            </w:pPr>
            <w:r>
              <w:rPr>
                <w:rFonts w:ascii="Arial" w:cs="Arial" w:eastAsia="Arial" w:hAnsi="Arial"/>
                <w:sz w:val="14"/>
                <w:szCs w:val="14"/>
                <w:b w:val="1"/>
                <w:bCs w:val="1"/>
                <w:color w:val="auto"/>
              </w:rPr>
              <w:t>Fair</w:t>
            </w:r>
          </w:p>
        </w:tc>
      </w:tr>
      <w:tr>
        <w:trPr>
          <w:trHeight w:val="161"/>
        </w:trPr>
        <w:tc>
          <w:tcPr>
            <w:tcW w:w="23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Value</w:t>
            </w:r>
          </w:p>
        </w:tc>
        <w:tc>
          <w:tcPr>
            <w:tcW w:w="2440" w:type="dxa"/>
            <w:vAlign w:val="bottom"/>
            <w:gridSpan w:val="2"/>
          </w:tcPr>
          <w:p>
            <w:pPr>
              <w:spacing w:after="0"/>
              <w:rPr>
                <w:sz w:val="14"/>
                <w:szCs w:val="14"/>
                <w:color w:val="auto"/>
              </w:rPr>
            </w:pPr>
          </w:p>
        </w:tc>
      </w:tr>
      <w:tr>
        <w:trPr>
          <w:trHeight w:val="210"/>
        </w:trPr>
        <w:tc>
          <w:tcPr>
            <w:tcW w:w="230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187,404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187,573</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w w:val="94"/>
              </w:rPr>
              <w:t>Due after one year through three years</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97,965</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98,220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59,150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56,925</w:t>
            </w:r>
          </w:p>
        </w:tc>
        <w:tc>
          <w:tcPr>
            <w:tcW w:w="2280" w:type="dxa"/>
            <w:vAlign w:val="bottom"/>
          </w:tcPr>
          <w:p>
            <w:pPr>
              <w:spacing w:after="0"/>
              <w:rPr>
                <w:sz w:val="18"/>
                <w:szCs w:val="18"/>
                <w:color w:val="auto"/>
              </w:rPr>
            </w:pPr>
          </w:p>
        </w:tc>
      </w:tr>
      <w:tr>
        <w:trPr>
          <w:trHeight w:val="27"/>
        </w:trPr>
        <w:tc>
          <w:tcPr>
            <w:tcW w:w="23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14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r>
      <w:tr>
        <w:trPr>
          <w:trHeight w:val="216"/>
        </w:trPr>
        <w:tc>
          <w:tcPr>
            <w:tcW w:w="23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344,519</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342,718</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
        </w:trPr>
        <w:tc>
          <w:tcPr>
            <w:tcW w:w="23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140" w:type="dxa"/>
            <w:vAlign w:val="bottom"/>
            <w:gridSpan w:val="2"/>
          </w:tcPr>
          <w:p>
            <w:pPr>
              <w:jc w:val="right"/>
              <w:ind w:right="1432"/>
              <w:spacing w:after="0"/>
              <w:rPr>
                <w:sz w:val="20"/>
                <w:szCs w:val="20"/>
                <w:color w:val="auto"/>
              </w:rPr>
            </w:pPr>
            <w:r>
              <w:rPr>
                <w:rFonts w:ascii="Arial" w:cs="Arial" w:eastAsia="Arial" w:hAnsi="Arial"/>
                <w:sz w:val="18"/>
                <w:szCs w:val="18"/>
                <w:color w:val="auto"/>
              </w:rPr>
              <w:t>F-15</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January 1, 2011 (Continued)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Financial Instruments</w:t>
      </w:r>
    </w:p>
    <w:p>
      <w:pPr>
        <w:spacing w:after="0" w:line="23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Company is exposed to interest rate fluctuations in the normal course of its business, including through its corporate headquarters leases. The base rents for these leases are calculated using a variable interest rate based on the three-month LIBOR. The Company has entered into interest rate swap agreements with notional values of $44.3 million and $50.1 million and, effectively, fixed the rent payment amounts on these leases through March 2011 and March 2013, respectively. The interest rate swap agreements are designated and qualify as cash flow hedges.</w:t>
      </w:r>
    </w:p>
    <w:p>
      <w:pPr>
        <w:spacing w:after="0" w:line="167"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Company estimates the fair values of derivatives based on quoted prices and market observable data of similar instruments. If the lease agreements or the interest rate swap agreements are terminated prior to maturity, the fair value of the interest rate swaps recorded in accumulated other comprehensive loss may be recognized in the Consolidated Statement of Income based on an assessment of the agreements at the time of termination. The Company did not discontinue any cash flow hedges in any of the periods presented.</w:t>
      </w:r>
    </w:p>
    <w:p>
      <w:pPr>
        <w:spacing w:after="0" w:line="197"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Company measures the effectiveness of its cash flow hedges by comparing the change in fair value of the hedged item with the change in fair value of the interest rate swap. The Company recognizes ineffective portions of the hedge, as well as amounts not included in the assessment of effectiveness, in the Consolidated Statement of Income. As of January 1, 2011, no portions of the gains or losses from the hedging instruments were excluded from the assessment of effectiveness. There was no hedge ineffectiveness for any of the periods presented.</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derivative financial instruments consisted of the following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60" w:type="dxa"/>
            <w:vAlign w:val="bottom"/>
            <w:tcBorders>
              <w:bottom w:val="single" w:sz="8" w:color="auto"/>
            </w:tcBorders>
          </w:tcPr>
          <w:p>
            <w:pPr>
              <w:ind w:left="1820"/>
              <w:spacing w:after="0"/>
              <w:rPr>
                <w:sz w:val="20"/>
                <w:szCs w:val="20"/>
                <w:color w:val="auto"/>
              </w:rPr>
            </w:pPr>
            <w:r>
              <w:rPr>
                <w:rFonts w:ascii="Arial" w:cs="Arial" w:eastAsia="Arial" w:hAnsi="Arial"/>
                <w:sz w:val="14"/>
                <w:szCs w:val="14"/>
                <w:b w:val="1"/>
                <w:bCs w:val="1"/>
                <w:color w:val="auto"/>
              </w:rPr>
              <w:t>January 1, 2011</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1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center"/>
              <w:ind w:right="60"/>
              <w:spacing w:after="0" w:line="129"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1"/>
                <w:szCs w:val="11"/>
                <w:color w:val="auto"/>
              </w:rPr>
            </w:pPr>
          </w:p>
        </w:tc>
      </w:tr>
      <w:tr>
        <w:trPr>
          <w:trHeight w:val="161"/>
        </w:trPr>
        <w:tc>
          <w:tcPr>
            <w:tcW w:w="1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6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r>
      <w:tr>
        <w:trPr>
          <w:trHeight w:val="210"/>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4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Accrued expenses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w:t>
            </w:r>
          </w:p>
        </w:tc>
      </w:tr>
      <w:tr>
        <w:trPr>
          <w:trHeight w:val="222"/>
        </w:trPr>
        <w:tc>
          <w:tcPr>
            <w:tcW w:w="1720" w:type="dxa"/>
            <w:vAlign w:val="bottom"/>
          </w:tcPr>
          <w:p>
            <w:pPr>
              <w:spacing w:after="0"/>
              <w:rPr>
                <w:sz w:val="19"/>
                <w:szCs w:val="19"/>
                <w:color w:val="auto"/>
              </w:rPr>
            </w:pPr>
          </w:p>
        </w:tc>
        <w:tc>
          <w:tcPr>
            <w:tcW w:w="4040" w:type="dxa"/>
            <w:vAlign w:val="bottom"/>
            <w:gridSpan w:val="2"/>
          </w:tcPr>
          <w:p>
            <w:pPr>
              <w:ind w:left="380"/>
              <w:spacing w:after="0"/>
              <w:rPr>
                <w:sz w:val="20"/>
                <w:szCs w:val="20"/>
                <w:color w:val="auto"/>
              </w:rPr>
            </w:pPr>
            <w:r>
              <w:rPr>
                <w:rFonts w:ascii="Arial" w:cs="Arial" w:eastAsia="Arial" w:hAnsi="Arial"/>
                <w:sz w:val="18"/>
                <w:szCs w:val="18"/>
                <w:color w:val="auto"/>
              </w:rPr>
              <w:t>Long-term obligations and other liabilities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3,467</w:t>
            </w:r>
          </w:p>
        </w:tc>
      </w:tr>
      <w:tr>
        <w:trPr>
          <w:trHeight w:val="21"/>
        </w:trPr>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172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3,811</w:t>
            </w:r>
          </w:p>
        </w:tc>
      </w:tr>
      <w:tr>
        <w:trPr>
          <w:trHeight w:val="27"/>
        </w:trPr>
        <w:tc>
          <w:tcPr>
            <w:tcW w:w="1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0"/>
        </w:trPr>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before-tax effect of derivative instruments in cash flow hedging relationships was as follows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2"/>
              </w:rPr>
              <w:t>Loss Reclassified</w:t>
            </w:r>
          </w:p>
        </w:tc>
      </w:tr>
      <w:tr>
        <w:trPr>
          <w:trHeight w:val="149"/>
        </w:trPr>
        <w:tc>
          <w:tcPr>
            <w:tcW w:w="1900" w:type="dxa"/>
            <w:vAlign w:val="bottom"/>
          </w:tcPr>
          <w:p>
            <w:pPr>
              <w:spacing w:after="0"/>
              <w:rPr>
                <w:sz w:val="12"/>
                <w:szCs w:val="12"/>
                <w:color w:val="auto"/>
              </w:rPr>
            </w:pPr>
          </w:p>
        </w:tc>
        <w:tc>
          <w:tcPr>
            <w:tcW w:w="18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Loss Recognized in</w:t>
            </w: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from Accumulated</w:t>
            </w:r>
          </w:p>
        </w:tc>
      </w:tr>
      <w:tr>
        <w:trPr>
          <w:trHeight w:val="149"/>
        </w:trPr>
        <w:tc>
          <w:tcPr>
            <w:tcW w:w="1900" w:type="dxa"/>
            <w:vAlign w:val="bottom"/>
          </w:tcPr>
          <w:p>
            <w:pPr>
              <w:spacing w:after="0"/>
              <w:rPr>
                <w:sz w:val="12"/>
                <w:szCs w:val="12"/>
                <w:color w:val="auto"/>
              </w:rPr>
            </w:pPr>
          </w:p>
        </w:tc>
        <w:tc>
          <w:tcPr>
            <w:tcW w:w="18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OCI on Derivatives</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Location of Loss</w:t>
            </w:r>
          </w:p>
        </w:tc>
        <w:tc>
          <w:tcPr>
            <w:tcW w:w="160" w:type="dxa"/>
            <w:vAlign w:val="bottom"/>
          </w:tcPr>
          <w:p>
            <w:pPr>
              <w:spacing w:after="0"/>
              <w:rPr>
                <w:sz w:val="12"/>
                <w:szCs w:val="12"/>
                <w:color w:val="auto"/>
              </w:rPr>
            </w:pPr>
          </w:p>
        </w:tc>
        <w:tc>
          <w:tcPr>
            <w:tcW w:w="18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OCI into Income</w:t>
            </w:r>
          </w:p>
        </w:tc>
      </w:tr>
      <w:tr>
        <w:trPr>
          <w:trHeight w:val="149"/>
        </w:trPr>
        <w:tc>
          <w:tcPr>
            <w:tcW w:w="1900" w:type="dxa"/>
            <w:vAlign w:val="bottom"/>
          </w:tcPr>
          <w:p>
            <w:pPr>
              <w:spacing w:after="0"/>
              <w:rPr>
                <w:sz w:val="12"/>
                <w:szCs w:val="12"/>
                <w:color w:val="auto"/>
              </w:rPr>
            </w:pPr>
          </w:p>
        </w:tc>
        <w:tc>
          <w:tcPr>
            <w:tcW w:w="18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(Effective Portion)</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Reclassified into</w:t>
            </w:r>
          </w:p>
        </w:tc>
        <w:tc>
          <w:tcPr>
            <w:tcW w:w="160" w:type="dxa"/>
            <w:vAlign w:val="bottom"/>
          </w:tcPr>
          <w:p>
            <w:pPr>
              <w:spacing w:after="0"/>
              <w:rPr>
                <w:sz w:val="12"/>
                <w:szCs w:val="12"/>
                <w:color w:val="auto"/>
              </w:rPr>
            </w:pPr>
          </w:p>
        </w:tc>
        <w:tc>
          <w:tcPr>
            <w:tcW w:w="18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(Effective Portion)</w:t>
            </w:r>
          </w:p>
        </w:tc>
      </w:tr>
      <w:tr>
        <w:trPr>
          <w:trHeight w:val="161"/>
        </w:trPr>
        <w:tc>
          <w:tcPr>
            <w:tcW w:w="1900" w:type="dxa"/>
            <w:vAlign w:val="bottom"/>
          </w:tcPr>
          <w:p>
            <w:pPr>
              <w:spacing w:after="0"/>
              <w:rPr>
                <w:sz w:val="14"/>
                <w:szCs w:val="14"/>
                <w:color w:val="auto"/>
              </w:rPr>
            </w:pPr>
          </w:p>
        </w:tc>
        <w:tc>
          <w:tcPr>
            <w:tcW w:w="1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8"/>
              </w:rPr>
              <w:t>during the Year Ended</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5"/>
              </w:rPr>
              <w:t>Income</w:t>
            </w:r>
          </w:p>
        </w:tc>
        <w:tc>
          <w:tcPr>
            <w:tcW w:w="160" w:type="dxa"/>
            <w:vAlign w:val="bottom"/>
          </w:tcPr>
          <w:p>
            <w:pPr>
              <w:spacing w:after="0"/>
              <w:rPr>
                <w:sz w:val="14"/>
                <w:szCs w:val="14"/>
                <w:color w:val="auto"/>
              </w:rPr>
            </w:pPr>
          </w:p>
        </w:tc>
        <w:tc>
          <w:tcPr>
            <w:tcW w:w="1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8"/>
              </w:rPr>
              <w:t>during the Year Ended</w:t>
            </w:r>
          </w:p>
        </w:tc>
      </w:tr>
      <w:tr>
        <w:trPr>
          <w:trHeight w:val="129"/>
        </w:trPr>
        <w:tc>
          <w:tcPr>
            <w:tcW w:w="1900" w:type="dxa"/>
            <w:vAlign w:val="bottom"/>
          </w:tcPr>
          <w:p>
            <w:pPr>
              <w:spacing w:after="0"/>
              <w:rPr>
                <w:sz w:val="11"/>
                <w:szCs w:val="11"/>
                <w:color w:val="auto"/>
              </w:rPr>
            </w:pPr>
          </w:p>
        </w:tc>
        <w:tc>
          <w:tcPr>
            <w:tcW w:w="92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6"/>
              </w:rPr>
              <w:t>January 1,</w:t>
            </w: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January 2,</w:t>
            </w:r>
          </w:p>
        </w:tc>
        <w:tc>
          <w:tcPr>
            <w:tcW w:w="16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6"/>
              </w:rPr>
              <w:t>January 1,</w:t>
            </w: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January 2,</w:t>
            </w:r>
          </w:p>
        </w:tc>
        <w:tc>
          <w:tcPr>
            <w:tcW w:w="160" w:type="dxa"/>
            <w:vAlign w:val="bottom"/>
          </w:tcPr>
          <w:p>
            <w:pPr>
              <w:spacing w:after="0"/>
              <w:rPr>
                <w:sz w:val="11"/>
                <w:szCs w:val="11"/>
                <w:color w:val="auto"/>
              </w:rPr>
            </w:pPr>
          </w:p>
        </w:tc>
      </w:tr>
      <w:tr>
        <w:trPr>
          <w:trHeight w:val="161"/>
        </w:trPr>
        <w:tc>
          <w:tcPr>
            <w:tcW w:w="1900" w:type="dxa"/>
            <w:vAlign w:val="bottom"/>
          </w:tcPr>
          <w:p>
            <w:pPr>
              <w:spacing w:after="0"/>
              <w:rPr>
                <w:sz w:val="14"/>
                <w:szCs w:val="14"/>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r>
      <w:tr>
        <w:trPr>
          <w:trHeight w:val="210"/>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   (2,640)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   (1,681)</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Rent expense</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(3,321)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   (2,792)</w:t>
            </w:r>
          </w:p>
        </w:tc>
      </w:tr>
    </w:tbl>
    <w:p>
      <w:pPr>
        <w:spacing w:after="0" w:line="208"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Company expects to reclassify $2.2 million of its interest rate swap losses included in accumulated other comprehensive loss as of January 1, 2011 into earnings in the next 12 months, which is offset by lower rent payments.</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Company's interest rate swap agreements contain provisions that require it to maintain unencumbered cash and highly-rated short-term investments of at least $150 million. If the Company's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1, 2011 (Continued)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Financial Instruments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unencumbered cash and highly-rated short-term investments are less than $150 million, it would be required to post collateral with the counterparty in the amount of the fair value of the interest rate swap agreements in net liability positions. Both of the Company's interest rate swaps were in a net liability position at January 1, 2011. No collateral has been posted with the counterparties as of January 1,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following summarizes the valuation of the Company's financial instruments (in thousands). The tables do not include either cash on hand or assets and liabilities that are measured at historical cost or any basis other than fair value.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4"/>
          </w:tcPr>
          <w:p>
            <w:pPr>
              <w:jc w:val="right"/>
              <w:spacing w:after="0"/>
              <w:rPr>
                <w:sz w:val="20"/>
                <w:szCs w:val="20"/>
                <w:color w:val="auto"/>
              </w:rPr>
            </w:pPr>
            <w:r>
              <w:rPr>
                <w:rFonts w:ascii="Arial" w:cs="Arial" w:eastAsia="Arial" w:hAnsi="Arial"/>
                <w:sz w:val="14"/>
                <w:szCs w:val="14"/>
                <w:b w:val="1"/>
                <w:bCs w:val="1"/>
                <w:color w:val="auto"/>
              </w:rPr>
              <w:t>Fair Value Measurements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at January 1, 2011 Using</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center"/>
              <w:ind w:right="36"/>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6"/>
              <w:spacing w:after="0" w:line="129" w:lineRule="exact"/>
              <w:rPr>
                <w:sz w:val="20"/>
                <w:szCs w:val="20"/>
                <w:color w:val="auto"/>
              </w:rPr>
            </w:pPr>
            <w:r>
              <w:rPr>
                <w:rFonts w:ascii="Arial" w:cs="Arial" w:eastAsia="Arial" w:hAnsi="Arial"/>
                <w:sz w:val="14"/>
                <w:szCs w:val="14"/>
                <w:b w:val="1"/>
                <w:bCs w:val="1"/>
                <w:color w:val="auto"/>
                <w:w w:val="88"/>
              </w:rPr>
              <w:t>Significant Other</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55"/>
              <w:spacing w:after="0" w:line="129" w:lineRule="exact"/>
              <w:rPr>
                <w:sz w:val="20"/>
                <w:szCs w:val="20"/>
                <w:color w:val="auto"/>
              </w:rPr>
            </w:pPr>
            <w:r>
              <w:rPr>
                <w:rFonts w:ascii="Arial" w:cs="Arial" w:eastAsia="Arial" w:hAnsi="Arial"/>
                <w:sz w:val="14"/>
                <w:szCs w:val="14"/>
                <w:b w:val="1"/>
                <w:bCs w:val="1"/>
                <w:color w:val="auto"/>
                <w:w w:val="89"/>
              </w:rPr>
              <w:t>Significant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Active Markets for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60" w:type="dxa"/>
            <w:vAlign w:val="bottom"/>
            <w:gridSpan w:val="3"/>
          </w:tcPr>
          <w:p>
            <w:pPr>
              <w:ind w:left="11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4"/>
                <w:szCs w:val="14"/>
                <w:color w:val="auto"/>
              </w:rPr>
            </w:pPr>
          </w:p>
        </w:tc>
        <w:tc>
          <w:tcPr>
            <w:tcW w:w="1160" w:type="dxa"/>
            <w:vAlign w:val="bottom"/>
          </w:tcPr>
          <w:p>
            <w:pPr>
              <w:jc w:val="center"/>
              <w:ind w:right="56"/>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55"/>
              <w:spacing w:after="0"/>
              <w:rPr>
                <w:sz w:val="20"/>
                <w:szCs w:val="20"/>
                <w:color w:val="auto"/>
              </w:rPr>
            </w:pPr>
            <w:r>
              <w:rPr>
                <w:rFonts w:ascii="Arial" w:cs="Arial" w:eastAsia="Arial" w:hAnsi="Arial"/>
                <w:sz w:val="14"/>
                <w:szCs w:val="14"/>
                <w:b w:val="1"/>
                <w:bCs w:val="1"/>
                <w:color w:val="auto"/>
                <w:w w:val="91"/>
              </w:rPr>
              <w:t>(Level 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Cash Equivalents: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U.S. Treasury bills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50,097</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gridSpan w:val="2"/>
          </w:tcPr>
          <w:p>
            <w:pPr>
              <w:ind w:left="26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45,167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45,167</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60" w:type="dxa"/>
            <w:vAlign w:val="bottom"/>
            <w:gridSpan w:val="3"/>
            <w:vMerge w:val="restart"/>
          </w:tcPr>
          <w:p>
            <w:pPr>
              <w:ind w:left="1140"/>
              <w:spacing w:after="0"/>
              <w:rPr>
                <w:sz w:val="20"/>
                <w:szCs w:val="20"/>
                <w:color w:val="auto"/>
              </w:rPr>
            </w:pPr>
            <w:r>
              <w:rPr>
                <w:rFonts w:ascii="Arial" w:cs="Arial" w:eastAsia="Arial" w:hAnsi="Arial"/>
                <w:sz w:val="18"/>
                <w:szCs w:val="18"/>
                <w:color w:val="auto"/>
              </w:rPr>
              <w:t>Total cash equivalents</w:t>
            </w: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460" w:type="dxa"/>
            <w:vAlign w:val="bottom"/>
            <w:gridSpan w:val="3"/>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97,923</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97,923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Short-term Investments:</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gridSpan w:val="2"/>
          </w:tcPr>
          <w:p>
            <w:pPr>
              <w:ind w:left="260"/>
              <w:spacing w:after="0"/>
              <w:rPr>
                <w:sz w:val="20"/>
                <w:szCs w:val="20"/>
                <w:color w:val="auto"/>
              </w:rPr>
            </w:pPr>
            <w:r>
              <w:rPr>
                <w:rFonts w:ascii="Arial" w:cs="Arial" w:eastAsia="Arial" w:hAnsi="Arial"/>
                <w:sz w:val="18"/>
                <w:szCs w:val="18"/>
                <w:color w:val="auto"/>
              </w:rPr>
              <w:t>Corporate bonds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88,518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88,518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Variable-rate demand notes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gridSpan w:val="2"/>
          </w:tcPr>
          <w:p>
            <w:pPr>
              <w:ind w:left="260"/>
              <w:spacing w:after="0"/>
              <w:rPr>
                <w:sz w:val="20"/>
                <w:szCs w:val="20"/>
                <w:color w:val="auto"/>
              </w:rPr>
            </w:pPr>
            <w:r>
              <w:rPr>
                <w:rFonts w:ascii="Arial" w:cs="Arial" w:eastAsia="Arial" w:hAnsi="Arial"/>
                <w:sz w:val="18"/>
                <w:szCs w:val="18"/>
                <w:color w:val="auto"/>
              </w:rPr>
              <w:t>Municipal bonds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38,414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38,414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U.S. government agency</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34,680</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gridSpan w:val="2"/>
          </w:tcPr>
          <w:p>
            <w:pPr>
              <w:ind w:left="260"/>
              <w:spacing w:after="0"/>
              <w:rPr>
                <w:sz w:val="20"/>
                <w:szCs w:val="20"/>
                <w:color w:val="auto"/>
              </w:rPr>
            </w:pPr>
            <w:r>
              <w:rPr>
                <w:rFonts w:ascii="Arial" w:cs="Arial" w:eastAsia="Arial" w:hAnsi="Arial"/>
                <w:sz w:val="18"/>
                <w:szCs w:val="18"/>
                <w:color w:val="auto"/>
              </w:rPr>
              <w:t>International government bonds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10,830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U.S. Treasury bills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gridSpan w:val="2"/>
          </w:tcPr>
          <w:p>
            <w:pPr>
              <w:ind w:left="260"/>
              <w:spacing w:after="0"/>
              <w:rPr>
                <w:sz w:val="20"/>
                <w:szCs w:val="20"/>
                <w:color w:val="auto"/>
              </w:rPr>
            </w:pPr>
            <w:r>
              <w:rPr>
                <w:rFonts w:ascii="Arial" w:cs="Arial" w:eastAsia="Arial" w:hAnsi="Arial"/>
                <w:sz w:val="18"/>
                <w:szCs w:val="18"/>
                <w:color w:val="auto"/>
              </w:rPr>
              <w:t>Certificates of deposit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5,742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60" w:type="dxa"/>
            <w:vAlign w:val="bottom"/>
            <w:gridSpan w:val="3"/>
            <w:vMerge w:val="restart"/>
          </w:tcPr>
          <w:p>
            <w:pPr>
              <w:ind w:left="1140"/>
              <w:spacing w:after="0"/>
              <w:rPr>
                <w:sz w:val="20"/>
                <w:szCs w:val="20"/>
                <w:color w:val="auto"/>
              </w:rPr>
            </w:pPr>
            <w:r>
              <w:rPr>
                <w:rFonts w:ascii="Arial" w:cs="Arial" w:eastAsia="Arial" w:hAnsi="Arial"/>
                <w:sz w:val="18"/>
                <w:szCs w:val="18"/>
                <w:color w:val="auto"/>
              </w:rPr>
              <w:t>Total short-term investments</w:t>
            </w: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460" w:type="dxa"/>
            <w:vAlign w:val="bottom"/>
            <w:gridSpan w:val="3"/>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227,295</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227,295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Long-term Investments:</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300" w:type="dxa"/>
            <w:vAlign w:val="bottom"/>
            <w:gridSpan w:val="2"/>
          </w:tcPr>
          <w:p>
            <w:pPr>
              <w:ind w:left="260"/>
              <w:spacing w:after="0"/>
              <w:rPr>
                <w:sz w:val="20"/>
                <w:szCs w:val="20"/>
                <w:color w:val="auto"/>
              </w:rPr>
            </w:pPr>
            <w:r>
              <w:rPr>
                <w:rFonts w:ascii="Arial" w:cs="Arial" w:eastAsia="Arial" w:hAnsi="Arial"/>
                <w:sz w:val="18"/>
                <w:szCs w:val="18"/>
                <w:color w:val="auto"/>
              </w:rPr>
              <w:t>Auction rate securities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17,500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17,500</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60" w:type="dxa"/>
            <w:vAlign w:val="bottom"/>
            <w:gridSpan w:val="3"/>
            <w:vMerge w:val="restart"/>
          </w:tcPr>
          <w:p>
            <w:pPr>
              <w:ind w:left="11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460" w:type="dxa"/>
            <w:vAlign w:val="bottom"/>
            <w:gridSpan w:val="3"/>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325,218</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17,500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342,718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880" w:type="dxa"/>
            <w:vAlign w:val="bottom"/>
            <w:gridSpan w:val="2"/>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gridSpan w:val="2"/>
          </w:tcPr>
          <w:p>
            <w:pPr>
              <w:ind w:left="120"/>
              <w:spacing w:after="0"/>
              <w:rPr>
                <w:sz w:val="20"/>
                <w:szCs w:val="20"/>
                <w:color w:val="auto"/>
              </w:rPr>
            </w:pPr>
            <w:r>
              <w:rPr>
                <w:rFonts w:ascii="Arial" w:cs="Arial" w:eastAsia="Arial" w:hAnsi="Arial"/>
                <w:sz w:val="18"/>
                <w:szCs w:val="18"/>
                <w:color w:val="auto"/>
              </w:rPr>
              <w:t>Derivative instruments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3,811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Contingent consideration</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60" w:type="dxa"/>
            <w:vAlign w:val="bottom"/>
            <w:gridSpan w:val="3"/>
            <w:vMerge w:val="restart"/>
          </w:tcPr>
          <w:p>
            <w:pPr>
              <w:ind w:left="11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460" w:type="dxa"/>
            <w:vAlign w:val="bottom"/>
            <w:gridSpan w:val="3"/>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3,811</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80" w:type="dxa"/>
            <w:vAlign w:val="bottom"/>
            <w:gridSpan w:val="2"/>
          </w:tcPr>
          <w:p>
            <w:pPr>
              <w:jc w:val="right"/>
              <w:ind w:right="776"/>
              <w:spacing w:after="0"/>
              <w:rPr>
                <w:sz w:val="20"/>
                <w:szCs w:val="20"/>
                <w:color w:val="auto"/>
              </w:rPr>
            </w:pPr>
            <w:r>
              <w:rPr>
                <w:rFonts w:ascii="Arial" w:cs="Arial" w:eastAsia="Arial" w:hAnsi="Arial"/>
                <w:sz w:val="18"/>
                <w:szCs w:val="18"/>
                <w:color w:val="auto"/>
              </w:rPr>
              <w:t>F-17</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January 1, 2011 (Continued)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4"/>
          </w:tcPr>
          <w:p>
            <w:pPr>
              <w:jc w:val="right"/>
              <w:spacing w:after="0"/>
              <w:rPr>
                <w:sz w:val="20"/>
                <w:szCs w:val="20"/>
                <w:color w:val="auto"/>
              </w:rPr>
            </w:pPr>
            <w:r>
              <w:rPr>
                <w:rFonts w:ascii="Arial" w:cs="Arial" w:eastAsia="Arial" w:hAnsi="Arial"/>
                <w:sz w:val="14"/>
                <w:szCs w:val="14"/>
                <w:b w:val="1"/>
                <w:bCs w:val="1"/>
                <w:color w:val="auto"/>
              </w:rPr>
              <w:t>Fair Value Measurements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at January 2, 2010 Using</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center"/>
              <w:ind w:right="37"/>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6"/>
              <w:spacing w:after="0" w:line="129" w:lineRule="exact"/>
              <w:rPr>
                <w:sz w:val="20"/>
                <w:szCs w:val="20"/>
                <w:color w:val="auto"/>
              </w:rPr>
            </w:pPr>
            <w:r>
              <w:rPr>
                <w:rFonts w:ascii="Arial" w:cs="Arial" w:eastAsia="Arial" w:hAnsi="Arial"/>
                <w:sz w:val="14"/>
                <w:szCs w:val="14"/>
                <w:b w:val="1"/>
                <w:bCs w:val="1"/>
                <w:color w:val="auto"/>
                <w:w w:val="88"/>
              </w:rPr>
              <w:t>Significant Other</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55"/>
              <w:spacing w:after="0" w:line="129" w:lineRule="exact"/>
              <w:rPr>
                <w:sz w:val="20"/>
                <w:szCs w:val="20"/>
                <w:color w:val="auto"/>
              </w:rPr>
            </w:pPr>
            <w:r>
              <w:rPr>
                <w:rFonts w:ascii="Arial" w:cs="Arial" w:eastAsia="Arial" w:hAnsi="Arial"/>
                <w:sz w:val="14"/>
                <w:szCs w:val="14"/>
                <w:b w:val="1"/>
                <w:bCs w:val="1"/>
                <w:color w:val="auto"/>
                <w:w w:val="89"/>
              </w:rPr>
              <w:t>Significant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Active Markets for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32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4"/>
                <w:szCs w:val="14"/>
                <w:color w:val="auto"/>
              </w:rPr>
            </w:pPr>
          </w:p>
        </w:tc>
        <w:tc>
          <w:tcPr>
            <w:tcW w:w="1160" w:type="dxa"/>
            <w:vAlign w:val="bottom"/>
          </w:tcPr>
          <w:p>
            <w:pPr>
              <w:jc w:val="center"/>
              <w:ind w:right="57"/>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55"/>
              <w:spacing w:after="0"/>
              <w:rPr>
                <w:sz w:val="20"/>
                <w:szCs w:val="20"/>
                <w:color w:val="auto"/>
              </w:rPr>
            </w:pPr>
            <w:r>
              <w:rPr>
                <w:rFonts w:ascii="Arial" w:cs="Arial" w:eastAsia="Arial" w:hAnsi="Arial"/>
                <w:sz w:val="14"/>
                <w:szCs w:val="14"/>
                <w:b w:val="1"/>
                <w:bCs w:val="1"/>
                <w:color w:val="auto"/>
                <w:w w:val="91"/>
              </w:rPr>
              <w:t>(Level 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Cash Equivalents: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167,139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260"/>
              <w:spacing w:after="0"/>
              <w:rPr>
                <w:sz w:val="20"/>
                <w:szCs w:val="20"/>
                <w:color w:val="auto"/>
              </w:rPr>
            </w:pPr>
            <w:r>
              <w:rPr>
                <w:rFonts w:ascii="Arial" w:cs="Arial" w:eastAsia="Arial" w:hAnsi="Arial"/>
                <w:sz w:val="18"/>
                <w:szCs w:val="18"/>
                <w:color w:val="auto"/>
              </w:rPr>
              <w:t>U.S. Treasury bills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U.S. government agency</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20" w:type="dxa"/>
            <w:vAlign w:val="bottom"/>
            <w:gridSpan w:val="3"/>
            <w:vMerge w:val="restart"/>
          </w:tcPr>
          <w:p>
            <w:pPr>
              <w:spacing w:after="0"/>
              <w:rPr>
                <w:sz w:val="20"/>
                <w:szCs w:val="20"/>
                <w:color w:val="auto"/>
              </w:rPr>
            </w:pPr>
            <w:r>
              <w:rPr>
                <w:rFonts w:ascii="Arial" w:cs="Arial" w:eastAsia="Arial" w:hAnsi="Arial"/>
                <w:sz w:val="18"/>
                <w:szCs w:val="18"/>
                <w:color w:val="auto"/>
              </w:rPr>
              <w:t>Total cash equivalents</w:t>
            </w: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320" w:type="dxa"/>
            <w:vAlign w:val="bottom"/>
            <w:gridSpan w:val="3"/>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174,115</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174,115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Short-term Investments:</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260"/>
              <w:spacing w:after="0"/>
              <w:rPr>
                <w:sz w:val="20"/>
                <w:szCs w:val="20"/>
                <w:color w:val="auto"/>
              </w:rPr>
            </w:pPr>
            <w:r>
              <w:rPr>
                <w:rFonts w:ascii="Arial" w:cs="Arial" w:eastAsia="Arial" w:hAnsi="Arial"/>
                <w:sz w:val="18"/>
                <w:szCs w:val="18"/>
                <w:color w:val="auto"/>
              </w:rPr>
              <w:t>Corporate bonds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74,486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74,486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U.S. government agency</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260"/>
              <w:spacing w:after="0"/>
              <w:rPr>
                <w:sz w:val="20"/>
                <w:szCs w:val="20"/>
                <w:color w:val="auto"/>
              </w:rPr>
            </w:pPr>
            <w:r>
              <w:rPr>
                <w:rFonts w:ascii="Arial" w:cs="Arial" w:eastAsia="Arial" w:hAnsi="Arial"/>
                <w:sz w:val="18"/>
                <w:szCs w:val="18"/>
                <w:color w:val="auto"/>
              </w:rPr>
              <w:t>Municipal bonds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37,530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37,530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U.S. Treasury bills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260"/>
              <w:spacing w:after="0"/>
              <w:rPr>
                <w:sz w:val="20"/>
                <w:szCs w:val="20"/>
                <w:color w:val="auto"/>
              </w:rPr>
            </w:pPr>
            <w:r>
              <w:rPr>
                <w:rFonts w:ascii="Arial" w:cs="Arial" w:eastAsia="Arial" w:hAnsi="Arial"/>
                <w:sz w:val="18"/>
                <w:szCs w:val="18"/>
                <w:color w:val="auto"/>
              </w:rPr>
              <w:t>International government bonds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12,463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2"/>
          </w:tcPr>
          <w:p>
            <w:pPr>
              <w:ind w:left="260"/>
              <w:spacing w:after="0"/>
              <w:rPr>
                <w:sz w:val="20"/>
                <w:szCs w:val="20"/>
                <w:color w:val="auto"/>
              </w:rPr>
            </w:pPr>
            <w:r>
              <w:rPr>
                <w:rFonts w:ascii="Arial" w:cs="Arial" w:eastAsia="Arial" w:hAnsi="Arial"/>
                <w:sz w:val="18"/>
                <w:szCs w:val="18"/>
                <w:color w:val="auto"/>
              </w:rPr>
              <w:t>Auction rate securities and put option</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23,992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23,992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short-term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190,494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214,486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4320" w:type="dxa"/>
            <w:vAlign w:val="bottom"/>
            <w:gridSpan w:val="3"/>
          </w:tcPr>
          <w:p>
            <w:pPr>
              <w:spacing w:after="0"/>
              <w:rPr>
                <w:sz w:val="20"/>
                <w:szCs w:val="20"/>
                <w:color w:val="auto"/>
              </w:rPr>
            </w:pPr>
            <w:r>
              <w:rPr>
                <w:rFonts w:ascii="Arial" w:cs="Arial" w:eastAsia="Arial" w:hAnsi="Arial"/>
                <w:sz w:val="18"/>
                <w:szCs w:val="18"/>
                <w:b w:val="1"/>
                <w:bCs w:val="1"/>
                <w:color w:val="auto"/>
              </w:rPr>
              <w:t>Long-term Investments: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Auction rate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20" w:type="dxa"/>
            <w:vAlign w:val="bottom"/>
            <w:gridSpan w:val="3"/>
            <w:vMerge w:val="restart"/>
          </w:tcPr>
          <w:p>
            <w:pPr>
              <w:spacing w:after="0"/>
              <w:rPr>
                <w:sz w:val="20"/>
                <w:szCs w:val="20"/>
                <w:color w:val="auto"/>
              </w:rPr>
            </w:pPr>
            <w:r>
              <w:rPr>
                <w:rFonts w:ascii="Arial" w:cs="Arial" w:eastAsia="Arial" w:hAnsi="Arial"/>
                <w:sz w:val="18"/>
                <w:szCs w:val="18"/>
                <w:color w:val="auto"/>
              </w:rPr>
              <w:t>Total long-term investments</w:t>
            </w: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320" w:type="dxa"/>
            <w:vAlign w:val="bottom"/>
            <w:gridSpan w:val="3"/>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24,676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413,277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20" w:type="dxa"/>
            <w:vAlign w:val="bottom"/>
            <w:gridSpan w:val="3"/>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32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Derivative instruments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320" w:type="dxa"/>
            <w:vAlign w:val="bottom"/>
            <w:gridSpan w:val="3"/>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4,491</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Company's cash equivalents and short-term investments (other than its auction-rate securities and put option) are valued using quoted prices and other relevant information generated by market transactions involving identical assets. The Company's auction-rate securities and put option are valued using a discounted cash flow model. The assumptions used in preparing the discounted cash flow model include estimates for interest rates, amount of cash flows, expected holding periods of the securities, a discount to reflect the Company's inability to liquidate the securities and counterparty risk. The Company's derivative instruments are valued using a discounted cash flow model. The assumptions used in preparing the discounted cash flow model include quoted interest swap rates and market observable data of similar instruments. The Company's contingent consideration is valued using a probability weighted discounted cash flow model. The assumptions used in preparing the discounted cash flow model include estimates for possible outcomes if certain milestone goals are achieved, the probability of achieving each outcome and discount rates.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January 1, 2011 (Continued)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summarizes the activity in Level 3 financial instruments for the years ended January 1, 2011 and January 2, 2010 (in thousands):</w:t>
      </w:r>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80" w:type="dxa"/>
            <w:vAlign w:val="bottom"/>
            <w:gridSpan w:val="4"/>
          </w:tcPr>
          <w:p>
            <w:pPr>
              <w:ind w:left="80"/>
              <w:spacing w:after="0"/>
              <w:rPr>
                <w:sz w:val="20"/>
                <w:szCs w:val="20"/>
                <w:color w:val="auto"/>
              </w:rPr>
            </w:pPr>
            <w:r>
              <w:rPr>
                <w:rFonts w:ascii="Arial" w:cs="Arial" w:eastAsia="Arial" w:hAnsi="Arial"/>
                <w:sz w:val="14"/>
                <w:szCs w:val="14"/>
                <w:b w:val="1"/>
                <w:bCs w:val="1"/>
                <w:color w:val="auto"/>
              </w:rPr>
              <w:t>Auction Rate</w:t>
            </w:r>
          </w:p>
        </w:tc>
        <w:tc>
          <w:tcPr>
            <w:tcW w:w="180" w:type="dxa"/>
            <w:vAlign w:val="bottom"/>
          </w:tcPr>
          <w:p>
            <w:pPr>
              <w:spacing w:after="0"/>
              <w:rPr>
                <w:sz w:val="14"/>
                <w:szCs w:val="14"/>
                <w:color w:val="auto"/>
              </w:rPr>
            </w:pPr>
          </w:p>
        </w:tc>
        <w:tc>
          <w:tcPr>
            <w:tcW w:w="660" w:type="dxa"/>
            <w:vAlign w:val="bottom"/>
            <w:gridSpan w:val="3"/>
          </w:tcPr>
          <w:p>
            <w:pPr>
              <w:jc w:val="right"/>
              <w:ind w:right="332"/>
              <w:spacing w:after="0"/>
              <w:rPr>
                <w:sz w:val="20"/>
                <w:szCs w:val="20"/>
                <w:color w:val="auto"/>
              </w:rPr>
            </w:pPr>
            <w:r>
              <w:rPr>
                <w:rFonts w:ascii="Arial" w:cs="Arial" w:eastAsia="Arial" w:hAnsi="Arial"/>
                <w:sz w:val="14"/>
                <w:szCs w:val="14"/>
                <w:b w:val="1"/>
                <w:bCs w:val="1"/>
                <w:color w:val="auto"/>
              </w:rPr>
              <w:t>Put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80" w:type="dxa"/>
            <w:vAlign w:val="bottom"/>
            <w:gridSpan w:val="5"/>
          </w:tcPr>
          <w:p>
            <w:pPr>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4"/>
                <w:szCs w:val="14"/>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3"/>
              </w:rPr>
              <w:t>Securities</w:t>
            </w:r>
          </w:p>
        </w:tc>
        <w:tc>
          <w:tcPr>
            <w:tcW w:w="840" w:type="dxa"/>
            <w:vAlign w:val="bottom"/>
            <w:gridSpan w:val="4"/>
          </w:tcPr>
          <w:p>
            <w:pPr>
              <w:jc w:val="right"/>
              <w:ind w:right="232"/>
              <w:spacing w:after="0"/>
              <w:rPr>
                <w:sz w:val="20"/>
                <w:szCs w:val="20"/>
                <w:color w:val="auto"/>
              </w:rPr>
            </w:pPr>
            <w:r>
              <w:rPr>
                <w:rFonts w:ascii="Arial" w:cs="Arial" w:eastAsia="Arial" w:hAnsi="Arial"/>
                <w:sz w:val="14"/>
                <w:szCs w:val="14"/>
                <w:b w:val="1"/>
                <w:bCs w:val="1"/>
                <w:color w:val="auto"/>
              </w:rPr>
              <w:t>Option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at January 2, 2010</w:t>
            </w:r>
          </w:p>
        </w:tc>
        <w:tc>
          <w:tcPr>
            <w:tcW w:w="1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tcPr>
          <w:p>
            <w:pPr>
              <w:spacing w:after="0"/>
              <w:rPr>
                <w:sz w:val="20"/>
                <w:szCs w:val="20"/>
                <w:color w:val="auto"/>
              </w:rPr>
            </w:pPr>
            <w:r>
              <w:rPr>
                <w:rFonts w:ascii="Arial" w:cs="Arial" w:eastAsia="Arial" w:hAnsi="Arial"/>
                <w:sz w:val="18"/>
                <w:szCs w:val="18"/>
                <w:color w:val="auto"/>
                <w:w w:val="93"/>
              </w:rPr>
              <w:t>Net purchases, sales, issuances and settlements (1)</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(31,142)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4"/>
              </w:rPr>
              <w:t>(2,226)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(33,368)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Unrealized gains</w:t>
            </w:r>
          </w:p>
        </w:tc>
        <w:tc>
          <w:tcPr>
            <w:tcW w:w="160" w:type="dxa"/>
            <w:vAlign w:val="bottom"/>
            <w:tcBorders>
              <w:left w:val="single" w:sz="8" w:color="CCEEFF"/>
            </w:tcBorders>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gridSpan w:val="4"/>
          </w:tcPr>
          <w:p>
            <w:pPr>
              <w:spacing w:after="0"/>
              <w:rPr>
                <w:sz w:val="20"/>
                <w:szCs w:val="20"/>
                <w:color w:val="auto"/>
              </w:rPr>
            </w:pPr>
            <w:r>
              <w:rPr>
                <w:rFonts w:ascii="Arial" w:cs="Arial" w:eastAsia="Arial" w:hAnsi="Arial"/>
                <w:sz w:val="18"/>
                <w:szCs w:val="18"/>
                <w:color w:val="auto"/>
              </w:rPr>
              <w:t>Net recognized gains (losses)</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2,888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(867)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at January 1, 2011</w:t>
            </w:r>
          </w:p>
        </w:tc>
        <w:tc>
          <w:tcPr>
            <w:tcW w:w="1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Auction Rate</w:t>
            </w:r>
          </w:p>
        </w:tc>
        <w:tc>
          <w:tcPr>
            <w:tcW w:w="180" w:type="dxa"/>
            <w:vAlign w:val="bottom"/>
          </w:tcPr>
          <w:p>
            <w:pPr>
              <w:spacing w:after="0"/>
              <w:rPr>
                <w:sz w:val="24"/>
                <w:szCs w:val="24"/>
                <w:color w:val="auto"/>
              </w:rPr>
            </w:pPr>
          </w:p>
        </w:tc>
        <w:tc>
          <w:tcPr>
            <w:tcW w:w="660" w:type="dxa"/>
            <w:vAlign w:val="bottom"/>
            <w:gridSpan w:val="3"/>
          </w:tcPr>
          <w:p>
            <w:pPr>
              <w:jc w:val="right"/>
              <w:ind w:right="272"/>
              <w:spacing w:after="0"/>
              <w:rPr>
                <w:sz w:val="20"/>
                <w:szCs w:val="20"/>
                <w:color w:val="auto"/>
              </w:rPr>
            </w:pPr>
            <w:r>
              <w:rPr>
                <w:rFonts w:ascii="Arial" w:cs="Arial" w:eastAsia="Arial" w:hAnsi="Arial"/>
                <w:sz w:val="14"/>
                <w:szCs w:val="14"/>
                <w:b w:val="1"/>
                <w:bCs w:val="1"/>
                <w:color w:val="auto"/>
              </w:rPr>
              <w:t>Put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2"/>
              </w:rPr>
              <w:t>Securities</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4"/>
                <w:szCs w:val="14"/>
                <w:b w:val="1"/>
                <w:bCs w:val="1"/>
                <w:color w:val="auto"/>
                <w:w w:val="88"/>
              </w:rPr>
              <w:t>Option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at January 3, 2009</w:t>
            </w:r>
          </w:p>
        </w:tc>
        <w:tc>
          <w:tcPr>
            <w:tcW w:w="16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46,859</w:t>
            </w:r>
          </w:p>
        </w:tc>
        <w:tc>
          <w:tcPr>
            <w:tcW w:w="1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4,962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tcPr>
          <w:p>
            <w:pPr>
              <w:spacing w:after="0"/>
              <w:rPr>
                <w:sz w:val="20"/>
                <w:szCs w:val="20"/>
                <w:color w:val="auto"/>
              </w:rPr>
            </w:pPr>
            <w:r>
              <w:rPr>
                <w:rFonts w:ascii="Arial" w:cs="Arial" w:eastAsia="Arial" w:hAnsi="Arial"/>
                <w:sz w:val="18"/>
                <w:szCs w:val="18"/>
                <w:color w:val="auto"/>
              </w:rPr>
              <w:t>Net purchases, sales, issuances and settlements</w:t>
            </w:r>
          </w:p>
        </w:tc>
        <w:tc>
          <w:tcPr>
            <w:tcW w:w="16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(4,574)</w:t>
            </w:r>
          </w:p>
        </w:tc>
        <w:tc>
          <w:tcPr>
            <w:tcW w:w="1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Unrealized gains (losses)</w:t>
            </w:r>
          </w:p>
        </w:tc>
        <w:tc>
          <w:tcPr>
            <w:tcW w:w="16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1,855</w:t>
            </w:r>
          </w:p>
        </w:tc>
        <w:tc>
          <w:tcPr>
            <w:tcW w:w="18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gridSpan w:val="4"/>
          </w:tcPr>
          <w:p>
            <w:pPr>
              <w:spacing w:after="0"/>
              <w:rPr>
                <w:sz w:val="20"/>
                <w:szCs w:val="20"/>
                <w:color w:val="auto"/>
              </w:rPr>
            </w:pPr>
            <w:r>
              <w:rPr>
                <w:rFonts w:ascii="Arial" w:cs="Arial" w:eastAsia="Arial" w:hAnsi="Arial"/>
                <w:sz w:val="18"/>
                <w:szCs w:val="18"/>
                <w:color w:val="auto"/>
              </w:rPr>
              <w:t>Net recognized gains (losses)</w:t>
            </w:r>
          </w:p>
        </w:tc>
        <w:tc>
          <w:tcPr>
            <w:tcW w:w="16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1,435</w:t>
            </w:r>
          </w:p>
        </w:tc>
        <w:tc>
          <w:tcPr>
            <w:tcW w:w="18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(1,568)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at January 2, 2010</w:t>
            </w:r>
          </w:p>
        </w:tc>
        <w:tc>
          <w:tcPr>
            <w:tcW w:w="16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45,575</w:t>
            </w:r>
          </w:p>
        </w:tc>
        <w:tc>
          <w:tcPr>
            <w:tcW w:w="1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3,093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48,668</w:t>
            </w:r>
          </w:p>
        </w:tc>
        <w:tc>
          <w:tcPr>
            <w:tcW w:w="0" w:type="dxa"/>
            <w:vAlign w:val="bottom"/>
          </w:tcPr>
          <w:p>
            <w:pPr>
              <w:spacing w:after="0"/>
              <w:rPr>
                <w:sz w:val="1"/>
                <w:szCs w:val="1"/>
                <w:color w:val="auto"/>
              </w:rPr>
            </w:pPr>
          </w:p>
        </w:tc>
      </w:tr>
      <w:tr>
        <w:trPr>
          <w:trHeight w:val="27"/>
        </w:trPr>
        <w:tc>
          <w:tcPr>
            <w:tcW w:w="3980" w:type="dxa"/>
            <w:vAlign w:val="bottom"/>
            <w:gridSpan w:val="5"/>
            <w:vMerge w:val="restart"/>
          </w:tcPr>
          <w:p>
            <w:pPr>
              <w:spacing w:after="0"/>
              <w:rPr>
                <w:sz w:val="20"/>
                <w:szCs w:val="20"/>
                <w:color w:val="auto"/>
              </w:rPr>
            </w:pPr>
            <w:r>
              <w:rPr>
                <w:rFonts w:ascii="Arial" w:cs="Arial" w:eastAsia="Arial" w:hAnsi="Arial"/>
                <w:sz w:val="18"/>
                <w:szCs w:val="18"/>
                <w:color w:val="auto"/>
                <w:w w:val="92"/>
              </w:rPr>
              <w:t>Gain (loss) for period included in earnings attributable</w:t>
            </w: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80" w:type="dxa"/>
            <w:vAlign w:val="bottom"/>
            <w:gridSpan w:val="5"/>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980" w:type="dxa"/>
            <w:vAlign w:val="bottom"/>
            <w:gridSpan w:val="5"/>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tcPr>
          <w:p>
            <w:pPr>
              <w:ind w:left="160"/>
              <w:spacing w:after="0"/>
              <w:rPr>
                <w:sz w:val="20"/>
                <w:szCs w:val="20"/>
                <w:color w:val="auto"/>
              </w:rPr>
            </w:pPr>
            <w:r>
              <w:rPr>
                <w:rFonts w:ascii="Arial" w:cs="Arial" w:eastAsia="Arial" w:hAnsi="Arial"/>
                <w:sz w:val="18"/>
                <w:szCs w:val="18"/>
                <w:color w:val="auto"/>
              </w:rPr>
              <w:t>to the Level 3 financial instruments still held at</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gridSpan w:val="4"/>
          </w:tcPr>
          <w:p>
            <w:pPr>
              <w:ind w:left="160"/>
              <w:spacing w:after="0"/>
              <w:rPr>
                <w:sz w:val="20"/>
                <w:szCs w:val="20"/>
                <w:color w:val="auto"/>
              </w:rPr>
            </w:pPr>
            <w:r>
              <w:rPr>
                <w:rFonts w:ascii="Arial" w:cs="Arial" w:eastAsia="Arial" w:hAnsi="Arial"/>
                <w:sz w:val="18"/>
                <w:szCs w:val="18"/>
                <w:color w:val="auto"/>
              </w:rPr>
              <w:t>January 2, 2010 related to:</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Trading securities</w:t>
            </w:r>
          </w:p>
        </w:tc>
        <w:tc>
          <w:tcPr>
            <w:tcW w:w="16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1,435</w:t>
            </w:r>
          </w:p>
        </w:tc>
        <w:tc>
          <w:tcPr>
            <w:tcW w:w="1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gridSpan w:val="4"/>
          </w:tcPr>
          <w:p>
            <w:pPr>
              <w:ind w:left="100"/>
              <w:spacing w:after="0"/>
              <w:rPr>
                <w:sz w:val="20"/>
                <w:szCs w:val="20"/>
                <w:color w:val="auto"/>
              </w:rPr>
            </w:pPr>
            <w:r>
              <w:rPr>
                <w:rFonts w:ascii="Arial" w:cs="Arial" w:eastAsia="Arial" w:hAnsi="Arial"/>
                <w:sz w:val="18"/>
                <w:szCs w:val="18"/>
                <w:color w:val="auto"/>
              </w:rPr>
              <w:t>Fair value of the put option</w:t>
            </w:r>
          </w:p>
        </w:tc>
        <w:tc>
          <w:tcPr>
            <w:tcW w:w="16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(1,568)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1,435</w:t>
            </w:r>
          </w:p>
        </w:tc>
        <w:tc>
          <w:tcPr>
            <w:tcW w:w="1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gridSpan w:val="2"/>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9"/>
              </w:rPr>
              <w:t>Contingent</w:t>
            </w:r>
          </w:p>
        </w:tc>
        <w:tc>
          <w:tcPr>
            <w:tcW w:w="0" w:type="dxa"/>
            <w:vAlign w:val="bottom"/>
          </w:tcPr>
          <w:p>
            <w:pPr>
              <w:spacing w:after="0"/>
              <w:rPr>
                <w:sz w:val="1"/>
                <w:szCs w:val="1"/>
                <w:color w:val="auto"/>
              </w:rPr>
            </w:pPr>
          </w:p>
        </w:tc>
      </w:tr>
      <w:tr>
        <w:trPr>
          <w:trHeight w:val="161"/>
        </w:trPr>
        <w:tc>
          <w:tcPr>
            <w:tcW w:w="3980" w:type="dxa"/>
            <w:vAlign w:val="bottom"/>
            <w:gridSpan w:val="5"/>
          </w:tcPr>
          <w:p>
            <w:pPr>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at January 2, 2010</w:t>
            </w:r>
          </w:p>
        </w:tc>
        <w:tc>
          <w:tcPr>
            <w:tcW w:w="160" w:type="dxa"/>
            <w:vAlign w:val="bottom"/>
            <w:tcBorders>
              <w:lef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tcPr>
          <w:p>
            <w:pPr>
              <w:spacing w:after="0"/>
              <w:rPr>
                <w:sz w:val="20"/>
                <w:szCs w:val="20"/>
                <w:color w:val="auto"/>
              </w:rPr>
            </w:pPr>
            <w:r>
              <w:rPr>
                <w:rFonts w:ascii="Arial" w:cs="Arial" w:eastAsia="Arial" w:hAnsi="Arial"/>
                <w:sz w:val="18"/>
                <w:szCs w:val="18"/>
                <w:color w:val="auto"/>
                <w:w w:val="93"/>
              </w:rPr>
              <w:t>Net purchases, sales, issuances and settlements (2)</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Recognized gain</w:t>
            </w:r>
          </w:p>
        </w:tc>
        <w:tc>
          <w:tcPr>
            <w:tcW w:w="160" w:type="dxa"/>
            <w:vAlign w:val="bottom"/>
            <w:tcBorders>
              <w:lef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3980" w:type="dxa"/>
            <w:vAlign w:val="bottom"/>
            <w:gridSpan w:val="5"/>
            <w:vMerge w:val="restart"/>
          </w:tcPr>
          <w:p>
            <w:pPr>
              <w:spacing w:after="0"/>
              <w:rPr>
                <w:sz w:val="20"/>
                <w:szCs w:val="20"/>
                <w:color w:val="auto"/>
              </w:rPr>
            </w:pPr>
            <w:r>
              <w:rPr>
                <w:rFonts w:ascii="Arial" w:cs="Arial" w:eastAsia="Arial" w:hAnsi="Arial"/>
                <w:sz w:val="18"/>
                <w:szCs w:val="18"/>
                <w:color w:val="auto"/>
              </w:rPr>
              <w:t>Balance at January 1, 2011</w:t>
            </w: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80" w:type="dxa"/>
            <w:vAlign w:val="bottom"/>
            <w:gridSpan w:val="5"/>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80" w:type="dxa"/>
            <w:vAlign w:val="bottom"/>
            <w:gridSpan w:val="7"/>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5880" w:type="dxa"/>
            <w:vAlign w:val="bottom"/>
            <w:gridSpan w:val="12"/>
            <w:shd w:val="clear" w:color="auto" w:fill="CCEEFF"/>
          </w:tcPr>
          <w:p>
            <w:pPr>
              <w:spacing w:after="0" w:line="189" w:lineRule="exact"/>
              <w:rPr>
                <w:sz w:val="20"/>
                <w:szCs w:val="20"/>
                <w:color w:val="auto"/>
              </w:rPr>
            </w:pPr>
            <w:r>
              <w:rPr>
                <w:rFonts w:ascii="Arial" w:cs="Arial" w:eastAsia="Arial" w:hAnsi="Arial"/>
                <w:sz w:val="18"/>
                <w:szCs w:val="18"/>
                <w:color w:val="auto"/>
                <w:w w:val="97"/>
              </w:rPr>
              <w:t>Gain for period included in earnings attributable to contingent consideration</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still held at January 1, 2011:</w:t>
            </w:r>
          </w:p>
        </w:tc>
        <w:tc>
          <w:tcPr>
            <w:tcW w:w="160" w:type="dxa"/>
            <w:vAlign w:val="bottom"/>
            <w:tcBorders>
              <w:left w:val="single" w:sz="8" w:color="CCEEFF"/>
            </w:tcBorders>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left w:val="single" w:sz="8" w:color="CCEEFF"/>
            </w:tcBorders>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840" w:hanging="550"/>
        <w:spacing w:after="0" w:line="306" w:lineRule="auto"/>
        <w:tabs>
          <w:tab w:leader="none" w:pos="28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Company previously held $23.5 million par value auction-rate securities purchased through UBS AG. During fiscal 2010, the Company sold these securities to UBS at par value under an agreement which provided the Company with certain rights to sell to UBS the auction-rate securities that were purchased through them.</w:t>
      </w:r>
    </w:p>
    <w:p>
      <w:pPr>
        <w:spacing w:after="0" w:line="187" w:lineRule="exact"/>
        <w:rPr>
          <w:rFonts w:ascii="Arial" w:cs="Arial" w:eastAsia="Arial" w:hAnsi="Arial"/>
          <w:sz w:val="16"/>
          <w:szCs w:val="16"/>
          <w:color w:val="auto"/>
        </w:rPr>
      </w:pPr>
    </w:p>
    <w:p>
      <w:pPr>
        <w:ind w:left="2840" w:right="380" w:hanging="550"/>
        <w:spacing w:after="0" w:line="259" w:lineRule="auto"/>
        <w:tabs>
          <w:tab w:leader="none" w:pos="2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connection with the acquisition of ChipSensors, the Company recorded contingent consideration based upon the achievement of certain milestone goals. Changes to the fair value of contingent consideration due to changes in assumptions used in preparing the</w:t>
      </w:r>
    </w:p>
    <w:p>
      <w:pPr>
        <w:spacing w:after="0" w:line="1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1, 2011 (Continued)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 (Continued)</w:t>
      </w:r>
    </w:p>
    <w:p>
      <w:pPr>
        <w:spacing w:after="0" w:line="231" w:lineRule="exact"/>
        <w:rPr>
          <w:sz w:val="20"/>
          <w:szCs w:val="20"/>
          <w:color w:val="auto"/>
        </w:rPr>
      </w:pPr>
    </w:p>
    <w:p>
      <w:pPr>
        <w:jc w:val="both"/>
        <w:ind w:left="2840" w:right="40"/>
        <w:spacing w:after="0" w:line="259" w:lineRule="auto"/>
        <w:rPr>
          <w:sz w:val="20"/>
          <w:szCs w:val="20"/>
          <w:color w:val="auto"/>
        </w:rPr>
      </w:pPr>
      <w:r>
        <w:rPr>
          <w:rFonts w:ascii="Arial" w:cs="Arial" w:eastAsia="Arial" w:hAnsi="Arial"/>
          <w:sz w:val="18"/>
          <w:szCs w:val="18"/>
          <w:color w:val="auto"/>
        </w:rPr>
        <w:t>discounted cash flow model are recorded in selling, general and administrative expenses in the Consolidated Statement of Income. Changes resulting from foreign currency remeasurement adjustments to the contingent consideration liability are recorded in other income (expense), net.</w:t>
      </w:r>
    </w:p>
    <w:p>
      <w:pPr>
        <w:spacing w:after="0" w:line="194"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Company's other financial instruments, including cash, accounts receivable and accounts payable, are recorded at amounts that approximate their fair values due to their short maturities.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Balance Sheet Details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Balance sheet details consist of the following (in thousands):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January 1,</w:t>
            </w:r>
          </w:p>
        </w:tc>
        <w:tc>
          <w:tcPr>
            <w:tcW w:w="3220" w:type="dxa"/>
            <w:vAlign w:val="bottom"/>
            <w:gridSpan w:val="4"/>
          </w:tcPr>
          <w:p>
            <w:pPr>
              <w:jc w:val="center"/>
              <w:ind w:right="2440"/>
              <w:spacing w:after="0"/>
              <w:rPr>
                <w:sz w:val="20"/>
                <w:szCs w:val="20"/>
                <w:color w:val="auto"/>
              </w:rPr>
            </w:pPr>
            <w:r>
              <w:rPr>
                <w:rFonts w:ascii="Arial" w:cs="Arial" w:eastAsia="Arial" w:hAnsi="Arial"/>
                <w:sz w:val="14"/>
                <w:szCs w:val="14"/>
                <w:b w:val="1"/>
                <w:bCs w:val="1"/>
                <w:color w:val="auto"/>
                <w:w w:val="89"/>
              </w:rPr>
              <w:t>January 2,</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Work in progress</w:t>
            </w:r>
          </w:p>
        </w:tc>
        <w:tc>
          <w:tcPr>
            <w:tcW w:w="2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24,642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Finished goods</w:t>
            </w:r>
          </w:p>
        </w:tc>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6,473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6,870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31,512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Property and Equipment</w:t>
            </w:r>
          </w:p>
        </w:tc>
        <w:tc>
          <w:tcPr>
            <w:tcW w:w="2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continu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180" w:type="dxa"/>
            <w:vAlign w:val="bottom"/>
            <w:gridSpan w:val="2"/>
            <w:vMerge w:val="continue"/>
          </w:tcPr>
          <w:p>
            <w:pPr>
              <w:spacing w:after="0"/>
              <w:rPr>
                <w:sz w:val="24"/>
                <w:szCs w:val="24"/>
                <w:color w:val="auto"/>
              </w:rPr>
            </w:pPr>
          </w:p>
        </w:tc>
        <w:tc>
          <w:tcPr>
            <w:tcW w:w="2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3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January 1,</w:t>
            </w:r>
          </w:p>
        </w:tc>
        <w:tc>
          <w:tcPr>
            <w:tcW w:w="3220" w:type="dxa"/>
            <w:vAlign w:val="bottom"/>
            <w:gridSpan w:val="4"/>
          </w:tcPr>
          <w:p>
            <w:pPr>
              <w:jc w:val="center"/>
              <w:ind w:right="2440"/>
              <w:spacing w:after="0"/>
              <w:rPr>
                <w:sz w:val="20"/>
                <w:szCs w:val="20"/>
                <w:color w:val="auto"/>
              </w:rPr>
            </w:pPr>
            <w:r>
              <w:rPr>
                <w:rFonts w:ascii="Arial" w:cs="Arial" w:eastAsia="Arial" w:hAnsi="Arial"/>
                <w:sz w:val="14"/>
                <w:szCs w:val="14"/>
                <w:b w:val="1"/>
                <w:bCs w:val="1"/>
                <w:color w:val="auto"/>
                <w:w w:val="89"/>
              </w:rPr>
              <w:t>January 2,</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36,232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Computers and purchased software</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29,501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39,296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21,042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19,029</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97,731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(64,169)</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(69,946)</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27,785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Accrued Expenses</w:t>
            </w:r>
          </w:p>
        </w:tc>
        <w:tc>
          <w:tcPr>
            <w:tcW w:w="2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continu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180" w:type="dxa"/>
            <w:vAlign w:val="bottom"/>
            <w:gridSpan w:val="2"/>
            <w:vMerge w:val="continue"/>
          </w:tcPr>
          <w:p>
            <w:pPr>
              <w:spacing w:after="0"/>
              <w:rPr>
                <w:sz w:val="24"/>
                <w:szCs w:val="24"/>
                <w:color w:val="auto"/>
              </w:rPr>
            </w:pPr>
          </w:p>
        </w:tc>
        <w:tc>
          <w:tcPr>
            <w:tcW w:w="2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3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January 1,</w:t>
            </w:r>
          </w:p>
        </w:tc>
        <w:tc>
          <w:tcPr>
            <w:tcW w:w="3220" w:type="dxa"/>
            <w:vAlign w:val="bottom"/>
            <w:gridSpan w:val="4"/>
          </w:tcPr>
          <w:p>
            <w:pPr>
              <w:jc w:val="center"/>
              <w:ind w:right="2440"/>
              <w:spacing w:after="0"/>
              <w:rPr>
                <w:sz w:val="20"/>
                <w:szCs w:val="20"/>
                <w:color w:val="auto"/>
              </w:rPr>
            </w:pPr>
            <w:r>
              <w:rPr>
                <w:rFonts w:ascii="Arial" w:cs="Arial" w:eastAsia="Arial" w:hAnsi="Arial"/>
                <w:sz w:val="14"/>
                <w:szCs w:val="14"/>
                <w:b w:val="1"/>
                <w:bCs w:val="1"/>
                <w:color w:val="auto"/>
                <w:w w:val="89"/>
              </w:rPr>
              <w:t>January 2,</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9"/>
              </w:rPr>
              <w:t>Accrued compensation and benefits</w:t>
            </w:r>
          </w:p>
        </w:tc>
        <w:tc>
          <w:tcPr>
            <w:tcW w:w="2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15,757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Other</w:t>
            </w:r>
          </w:p>
        </w:tc>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10,489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9,642</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25,399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260" w:type="dxa"/>
            <w:vAlign w:val="bottom"/>
            <w:gridSpan w:val="2"/>
          </w:tcPr>
          <w:p>
            <w:pPr>
              <w:jc w:val="right"/>
              <w:ind w:right="1492"/>
              <w:spacing w:after="0"/>
              <w:rPr>
                <w:sz w:val="20"/>
                <w:szCs w:val="20"/>
                <w:color w:val="auto"/>
              </w:rPr>
            </w:pPr>
            <w:r>
              <w:rPr>
                <w:rFonts w:ascii="Arial" w:cs="Arial" w:eastAsia="Arial" w:hAnsi="Arial"/>
                <w:sz w:val="18"/>
                <w:szCs w:val="18"/>
                <w:color w:val="auto"/>
              </w:rPr>
              <w:t>F-20</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January 1, 2011 (Continued)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7.</w:t>
            </w:r>
          </w:p>
        </w:tc>
        <w:tc>
          <w:tcPr>
            <w:tcW w:w="712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Sheet Details (Continued)</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280" w:type="dxa"/>
            <w:vAlign w:val="bottom"/>
            <w:gridSpan w:val="3"/>
          </w:tcPr>
          <w:p>
            <w:pPr>
              <w:spacing w:after="0"/>
              <w:rPr>
                <w:sz w:val="20"/>
                <w:szCs w:val="20"/>
                <w:color w:val="auto"/>
              </w:rPr>
            </w:pPr>
            <w:r>
              <w:rPr>
                <w:rFonts w:ascii="Arial" w:cs="Arial" w:eastAsia="Arial" w:hAnsi="Arial"/>
                <w:sz w:val="18"/>
                <w:szCs w:val="18"/>
                <w:i w:val="1"/>
                <w:iCs w:val="1"/>
                <w:color w:val="auto"/>
              </w:rPr>
              <w:t>Long-term Obligations and Other Liabilities</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January 1,</w:t>
            </w:r>
          </w:p>
        </w:tc>
        <w:tc>
          <w:tcPr>
            <w:tcW w:w="160" w:type="dxa"/>
            <w:vAlign w:val="bottom"/>
          </w:tcPr>
          <w:p>
            <w:pPr>
              <w:spacing w:after="0"/>
              <w:rPr>
                <w:sz w:val="24"/>
                <w:szCs w:val="24"/>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61"/>
        </w:trPr>
        <w:tc>
          <w:tcPr>
            <w:tcW w:w="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(including interest)</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10,187</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12,025</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12,185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12,378</w:t>
            </w: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22,372</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24,403</w:t>
            </w:r>
          </w:p>
        </w:tc>
        <w:tc>
          <w:tcPr>
            <w:tcW w:w="0" w:type="dxa"/>
            <w:vAlign w:val="bottom"/>
          </w:tcPr>
          <w:p>
            <w:pPr>
              <w:spacing w:after="0"/>
              <w:rPr>
                <w:sz w:val="1"/>
                <w:szCs w:val="1"/>
                <w:color w:val="auto"/>
              </w:rPr>
            </w:pPr>
          </w:p>
        </w:tc>
      </w:tr>
      <w:tr>
        <w:trPr>
          <w:trHeight w:val="27"/>
        </w:trPr>
        <w:tc>
          <w:tcPr>
            <w:tcW w:w="160" w:type="dxa"/>
            <w:vAlign w:val="bottom"/>
            <w:vMerge w:val="restart"/>
          </w:tcPr>
          <w:p>
            <w:pPr>
              <w:spacing w:after="0"/>
              <w:rPr>
                <w:sz w:val="20"/>
                <w:szCs w:val="20"/>
                <w:color w:val="auto"/>
              </w:rPr>
            </w:pPr>
            <w:r>
              <w:rPr>
                <w:rFonts w:ascii="Arial" w:cs="Arial" w:eastAsia="Arial" w:hAnsi="Arial"/>
                <w:sz w:val="18"/>
                <w:szCs w:val="18"/>
                <w:b w:val="1"/>
                <w:bCs w:val="1"/>
                <w:color w:val="auto"/>
                <w:w w:val="92"/>
              </w:rPr>
              <w:t>8.</w:t>
            </w:r>
          </w:p>
        </w:tc>
        <w:tc>
          <w:tcPr>
            <w:tcW w:w="71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Risks and Uncertainties</w:t>
            </w: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vMerge w:val="continue"/>
          </w:tcPr>
          <w:p>
            <w:pPr>
              <w:spacing w:after="0" w:line="20" w:lineRule="exact"/>
              <w:rPr>
                <w:sz w:val="1"/>
                <w:szCs w:val="1"/>
                <w:color w:val="auto"/>
              </w:rPr>
            </w:pPr>
          </w:p>
        </w:tc>
        <w:tc>
          <w:tcPr>
            <w:tcW w:w="712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60" w:type="dxa"/>
            <w:vAlign w:val="bottom"/>
            <w:vMerge w:val="continue"/>
          </w:tcPr>
          <w:p>
            <w:pPr>
              <w:spacing w:after="0"/>
              <w:rPr>
                <w:sz w:val="24"/>
                <w:szCs w:val="24"/>
                <w:color w:val="auto"/>
              </w:rPr>
            </w:pPr>
          </w:p>
        </w:tc>
        <w:tc>
          <w:tcPr>
            <w:tcW w:w="71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Financial instruments that potentially subject the Company to significant concentrations of credit risk consist primarily of cash equivalents, investments, accounts receivable and derivatives. The Company places its cash equivalents and investments primarily in corporate bonds, U.S. Treasury bills, money market funds, variable-rate demand notes, municipal bonds, U.S. government agency bonds and discount notes, international government bonds, certificates of deposit, commercial paper and auction-rate securities. Concentrations of credit risk with respect to accounts receivable are primarily due to customers with large outstanding balances. The Company's customers that accounted for greater than 10% of accounts receivable consist of the following:</w:t>
      </w:r>
    </w:p>
    <w:p>
      <w:pPr>
        <w:spacing w:after="0" w:line="153"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January 1,</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January 2,</w:t>
            </w:r>
          </w:p>
        </w:tc>
      </w:tr>
      <w:tr>
        <w:trPr>
          <w:trHeight w:val="161"/>
        </w:trPr>
        <w:tc>
          <w:tcPr>
            <w:tcW w:w="24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7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r>
      <w:tr>
        <w:trPr>
          <w:trHeight w:val="210"/>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Avnet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8"/>
              </w:rPr>
              <w:t>14%</w:t>
            </w: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Macnica</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Edom Technology</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8"/>
              </w:rPr>
              <w:t>33%</w:t>
            </w:r>
          </w:p>
        </w:tc>
      </w:tr>
      <w:tr>
        <w:trPr>
          <w:trHeight w:val="108"/>
        </w:trPr>
        <w:tc>
          <w:tcPr>
            <w:tcW w:w="2400" w:type="dxa"/>
            <w:vAlign w:val="bottom"/>
            <w:tcBorders>
              <w:bottom w:val="single" w:sz="8" w:color="auto"/>
            </w:tcBorders>
          </w:tcPr>
          <w:p>
            <w:pPr>
              <w:spacing w:after="0"/>
              <w:rPr>
                <w:sz w:val="9"/>
                <w:szCs w:val="9"/>
                <w:color w:val="auto"/>
              </w:rPr>
            </w:pPr>
          </w:p>
        </w:tc>
        <w:tc>
          <w:tcPr>
            <w:tcW w:w="2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2840" w:hanging="550"/>
        <w:spacing w:after="0"/>
        <w:tabs>
          <w:tab w:leader="none" w:pos="2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Less than 10% of accounts receivable</w:t>
      </w:r>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Company performs periodic credit evaluations of its customers' financial condition and generally requires no collateral from its customers. The Company provides an allowance for potential credit losses based upon the expected collectibility of such receivables. Losses have not been significant for any of the periods presented.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Suppliers</w:t>
      </w:r>
    </w:p>
    <w:p>
      <w:pPr>
        <w:spacing w:after="0" w:line="225"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 significant portion of the Company's products are fabricated by Taiwan Semiconductor Manufacturing Co. (TSMC) or its affiliates. The inability of TSMC to deliver wafers to the Company on a timely basis could impact the production of the Company's products for a substantial period of time, which could have a material adverse effect on the Company's business,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Company sells directly to end customers, distributors and contract manufacturers. Although the Company actually sells the products to, and is paid by, distributors and contract manufacturers,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January 1, 2011 (Continued)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Risks and Uncertainties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Company refers to the end customer as its customer. None of the Company's contract manufacturers accounted for greater than 10% of revenue during fiscal 2010, 2009 or 2008. The Company's end customers and distributors that accounted for greater than 10% of revenue consists of the following:</w:t>
      </w:r>
    </w:p>
    <w:p>
      <w:pPr>
        <w:spacing w:after="0" w:line="18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4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94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9"/>
              </w:rPr>
              <w:t>January 1,</w:t>
            </w:r>
          </w:p>
        </w:tc>
        <w:tc>
          <w:tcPr>
            <w:tcW w:w="92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6"/>
              </w:rPr>
              <w:t>January 2,</w:t>
            </w: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January 3,</w:t>
            </w:r>
          </w:p>
        </w:tc>
        <w:tc>
          <w:tcPr>
            <w:tcW w:w="160" w:type="dxa"/>
            <w:vAlign w:val="bottom"/>
          </w:tcPr>
          <w:p>
            <w:pPr>
              <w:spacing w:after="0"/>
              <w:rPr>
                <w:sz w:val="11"/>
                <w:szCs w:val="11"/>
                <w:color w:val="auto"/>
              </w:rPr>
            </w:pPr>
          </w:p>
        </w:tc>
      </w:tr>
      <w:tr>
        <w:trPr>
          <w:trHeight w:val="161"/>
        </w:trPr>
        <w:tc>
          <w:tcPr>
            <w:tcW w:w="2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r>
      <w:tr>
        <w:trPr>
          <w:trHeight w:val="210"/>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End Customers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Samsung</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r>
      <w:tr>
        <w:trPr>
          <w:trHeight w:val="432"/>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Distributors</w:t>
            </w: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Edom Technology</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w w:val="88"/>
              </w:rPr>
              <w:t>28%</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w w:val="88"/>
              </w:rPr>
              <w:t>31%</w:t>
            </w: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Avnet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8"/>
              </w:rPr>
              <w:t>14%</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108"/>
        </w:trPr>
        <w:tc>
          <w:tcPr>
            <w:tcW w:w="2400" w:type="dxa"/>
            <w:vAlign w:val="bottom"/>
            <w:tcBorders>
              <w:bottom w:val="single" w:sz="8" w:color="auto"/>
            </w:tcBorders>
          </w:tcPr>
          <w:p>
            <w:pPr>
              <w:spacing w:after="0"/>
              <w:rPr>
                <w:sz w:val="9"/>
                <w:szCs w:val="9"/>
                <w:color w:val="auto"/>
              </w:rPr>
            </w:pPr>
          </w:p>
        </w:tc>
        <w:tc>
          <w:tcPr>
            <w:tcW w:w="1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2840" w:hanging="550"/>
        <w:spacing w:after="0"/>
        <w:tabs>
          <w:tab w:leader="none" w:pos="2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Less than 10% of revenue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Acquisitions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Silicon Clocks</w:t>
      </w:r>
    </w:p>
    <w:p>
      <w:pPr>
        <w:spacing w:after="0" w:line="225"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In April 2010, the Company acquired Silicon Clocks, Inc., a privately held company that designed and developed microelectromechanical system (MEMS) technology to enable the manufacture of silicon resonators and sensors directly on standard CMOS wafers. The Company acquired Silicon Clocks for approximately $21.0 million in cash. Of such consideration, $2.0 million was deposited in escrow as security for breaches of representations and warranties and certain other expressly enumerated matters.</w:t>
      </w:r>
    </w:p>
    <w:p>
      <w:pPr>
        <w:spacing w:after="0" w:line="19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 recorded the purchase of Silicon Clocks using the acquisition method of accounting and accordingly, recognized the assets acquired and liabilities assumed at their fair values as of the date of the acquisition. The results of Silicon Clocks' operations are included in the Company's consolidated results of operations beginning with the date of the acquisition. Revenues and earnings of Silicon Clocks and pro forma financial information have not been presented because the results of Silicon Clocks' operations were not material. Acquisition-related costs were not significant.</w:t>
      </w:r>
    </w:p>
    <w:p>
      <w:pPr>
        <w:spacing w:after="0" w:line="167" w:lineRule="exact"/>
        <w:rPr>
          <w:sz w:val="20"/>
          <w:szCs w:val="20"/>
          <w:color w:val="auto"/>
        </w:rPr>
      </w:pPr>
    </w:p>
    <w:p>
      <w:pPr>
        <w:ind w:right="440" w:firstLine="348"/>
        <w:spacing w:after="0" w:line="306" w:lineRule="auto"/>
        <w:rPr>
          <w:sz w:val="20"/>
          <w:szCs w:val="20"/>
          <w:color w:val="auto"/>
        </w:rPr>
      </w:pPr>
      <w:r>
        <w:rPr>
          <w:rFonts w:ascii="Arial" w:cs="Arial" w:eastAsia="Arial" w:hAnsi="Arial"/>
          <w:sz w:val="16"/>
          <w:szCs w:val="16"/>
          <w:color w:val="auto"/>
        </w:rPr>
        <w:t>The Company believes that the acquisition will enable the Company to accelerate its entry into the low end timing market while further scaling the Company's engineering team. These factors contributed to a purchase price that was in excess of the fair value of the net assets acquired and, as a result, the Company recorded goodwill. The goodwill was allocated to the Company's one operating segment 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January 1, 2011 (Continued)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Acquisitions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is not expected to be deductible for tax purposes. The purchase price was allocated as follows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Weighted-Average</w:t>
            </w:r>
          </w:p>
        </w:tc>
      </w:tr>
      <w:tr>
        <w:trPr>
          <w:trHeight w:val="149"/>
        </w:trPr>
        <w:tc>
          <w:tcPr>
            <w:tcW w:w="4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Amortization Period</w:t>
            </w:r>
          </w:p>
        </w:tc>
      </w:tr>
      <w:tr>
        <w:trPr>
          <w:trHeight w:val="161"/>
        </w:trPr>
        <w:tc>
          <w:tcPr>
            <w:tcW w:w="4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6"/>
              </w:rPr>
              <w:t>Amount</w:t>
            </w: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(Years)</w:t>
            </w: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60" w:type="dxa"/>
            <w:vAlign w:val="bottom"/>
          </w:tcPr>
          <w:p>
            <w:pPr>
              <w:ind w:left="120"/>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9,470</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r>
      <w:tr>
        <w:trPr>
          <w:trHeight w:val="216"/>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Developed technology</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r>
      <w:tr>
        <w:trPr>
          <w:trHeight w:val="222"/>
        </w:trPr>
        <w:tc>
          <w:tcPr>
            <w:tcW w:w="446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r>
      <w:tr>
        <w:trPr>
          <w:trHeight w:val="21"/>
        </w:trPr>
        <w:tc>
          <w:tcPr>
            <w:tcW w:w="4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9,730</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514</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473</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Deferred tax assets—non-current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10,617</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4,113</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(1,338)</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Deferred tax liabilities—non-current</w:t>
            </w: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(3,406)</w:t>
            </w: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
        </w:trPr>
        <w:tc>
          <w:tcPr>
            <w:tcW w:w="4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21,025</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7"/>
        </w:trPr>
        <w:tc>
          <w:tcPr>
            <w:tcW w:w="44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In-process research and development (IPR&amp;D) represents acquired technology that had not achieved technological feasibility as of the acquisition closing date and had no alternative future use. These costs were recorded as indefinite-lived intangible assets. The assets are tested for impairment through their completion and then amortized to research and development expense over their useful lives. The fair value of each project was determined using the income approach. The discount rate applicable to the cash flows was 19.0%. This rate reflects the weighted-average cost of capital and the risks inherent in the development process. The IPR&amp;D recorded in connection with the acquisition consisted of the following (in thousands):</w:t>
      </w:r>
    </w:p>
    <w:p>
      <w:pPr>
        <w:spacing w:after="0" w:line="16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920" w:type="dxa"/>
            <w:vAlign w:val="bottom"/>
            <w:gridSpan w:val="3"/>
          </w:tcPr>
          <w:p>
            <w:pPr>
              <w:spacing w:after="0"/>
              <w:rPr>
                <w:sz w:val="20"/>
                <w:szCs w:val="20"/>
                <w:color w:val="auto"/>
              </w:rPr>
            </w:pPr>
            <w:r>
              <w:rPr>
                <w:rFonts w:ascii="Arial" w:cs="Arial" w:eastAsia="Arial" w:hAnsi="Arial"/>
                <w:sz w:val="14"/>
                <w:szCs w:val="14"/>
                <w:b w:val="1"/>
                <w:bCs w:val="1"/>
                <w:color w:val="auto"/>
              </w:rPr>
              <w:t>Project</w:t>
            </w: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Resonator</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Clocks</w:t>
            </w:r>
          </w:p>
        </w:tc>
        <w:tc>
          <w:tcPr>
            <w:tcW w:w="2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4,270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is developing the IPR&amp;D projects using MEMS technology. The remaining research and development efforts include additional design, integration and testing. As of the acquisition date, the Company projected the costs to complete the projects to be $8.1 million. Such costs have been consistent with the Company's assumptions at the time of the acquisition.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ChipSensors</w:t>
      </w:r>
    </w:p>
    <w:p>
      <w:pPr>
        <w:spacing w:after="0" w:line="225"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In October 2010, the Company acquired ChipSensors Ltd, a privately held company for approximately $11.7 million, including contingent consideration with an estimated fair value of $1.8 million at the date of acquisition. ChipSensors created innovative single-chip CMOS sensors</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January 1, 2011 (Continued)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Acquisitions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designed to detect temperature, humidity and gases. The Company recorded the purchase of Silicon Clocks using the acquisition method of accounting and accordingly, recognized the assets acquired and liabilities assumed at their fair values as of the date of the acquisition. The purchase price was allocated as follows: intangible assets—$9.1 million; goodwill—$3.1 million; and net tangible assets—$(0.5) million. Revenues and earnings of ChipSensors and pro forma financial information have not been presented because the results of ChipSensors' operations were not material. The purchase price allocation is preliminary and subject to revision as more detailed analysis is completed and additional information about the fair value of assets and liabilities becomes available. Adjustments in the fair value of the net assets acquired may affect the calculation of goodwill.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Integration Associates</w:t>
      </w:r>
    </w:p>
    <w:p>
      <w:pPr>
        <w:spacing w:after="0" w:line="225"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In July 2008, the Company completed its acquisition of Integration Associates, a privately held company that designed and developed silicon solutions for wireless, wireline and power system management applications. The Company acquired Integration Associates for approximately $87.1 million, including $80.6 million in cash and approximately 202,000 shares of the Company's common stock valued at $6.5 million on the closing date. Of such consideration, $9.0 million in cash was deposited in escrow as security for breaches of representations and warranties and certain other expressly enumerated matters.</w:t>
      </w:r>
    </w:p>
    <w:p>
      <w:pPr>
        <w:spacing w:after="0" w:line="16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acquisition was recorded using the purchase method of accounting and accordingly, the results of Integration Associates' operations are included in the Company's consolidated results of operations beginning with the date of the acquisition. Pro forma financial information has not been presented since the effect of the acquisition was not material. The Company believes that the acquisition enables the Company to address new product vectors, accelerates its entry into certain markets and further scales the Company's engineering team. These factors contributed to a purchase price that was in excess of the fair value of the net assets acquired and, as a result, the Company recorded goodwill.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January 1, 2011 (Continued)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Acquisitions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goodwill was allocated to the Company's one operating segment and is not deductible for tax purposes. The purchase price was allocated as follows (in thousands):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Weighted-Average</w:t>
            </w:r>
          </w:p>
        </w:tc>
      </w:tr>
      <w:tr>
        <w:trPr>
          <w:trHeight w:val="149"/>
        </w:trPr>
        <w:tc>
          <w:tcPr>
            <w:tcW w:w="4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Amortization Period</w:t>
            </w:r>
          </w:p>
        </w:tc>
      </w:tr>
      <w:tr>
        <w:trPr>
          <w:trHeight w:val="161"/>
        </w:trPr>
        <w:tc>
          <w:tcPr>
            <w:tcW w:w="4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6"/>
              </w:rPr>
              <w:t>Amount</w:t>
            </w: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(Years)</w:t>
            </w: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60" w:type="dxa"/>
            <w:vAlign w:val="bottom"/>
          </w:tcPr>
          <w:p>
            <w:pPr>
              <w:ind w:left="120"/>
              <w:spacing w:after="0"/>
              <w:rPr>
                <w:sz w:val="20"/>
                <w:szCs w:val="20"/>
                <w:color w:val="auto"/>
              </w:rPr>
            </w:pPr>
            <w:r>
              <w:rPr>
                <w:rFonts w:ascii="Arial" w:cs="Arial" w:eastAsia="Arial" w:hAnsi="Arial"/>
                <w:sz w:val="18"/>
                <w:szCs w:val="18"/>
                <w:color w:val="auto"/>
              </w:rPr>
              <w:t>Core and developed technology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36,270</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r>
      <w:tr>
        <w:trPr>
          <w:trHeight w:val="216"/>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1,080</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r>
      <w:tr>
        <w:trPr>
          <w:trHeight w:val="222"/>
        </w:trPr>
        <w:tc>
          <w:tcPr>
            <w:tcW w:w="4460" w:type="dxa"/>
            <w:vAlign w:val="bottom"/>
          </w:tcPr>
          <w:p>
            <w:pPr>
              <w:ind w:left="120"/>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10,250</w:t>
            </w: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
        </w:trPr>
        <w:tc>
          <w:tcPr>
            <w:tcW w:w="4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47,600</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2,644</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4,879</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5,925</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3,604</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32,013</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4,688</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(2,833)</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(4,471)</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(6,908)</w:t>
            </w: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
        </w:trPr>
        <w:tc>
          <w:tcPr>
            <w:tcW w:w="4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87,141</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7"/>
        </w:trPr>
        <w:tc>
          <w:tcPr>
            <w:tcW w:w="44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In-process research and development (IPR&amp;D) represents acquired technology that had not achieved technological feasibility as of the acquisition closing date and that had no alternative future use. These costs were expensed on the date of acquisition. The fair value of each project was determined using the income approach. The discount rate applicable to the cash flows was 20%. This rate reflects the weighted-average cost of capital and the risks inherent in the development process. The IPR&amp;D recorded in connection with the acquisition consisted of the following (in thousands):</w:t>
      </w:r>
    </w:p>
    <w:p>
      <w:pPr>
        <w:spacing w:after="0" w:line="162"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920" w:type="dxa"/>
            <w:vAlign w:val="bottom"/>
            <w:gridSpan w:val="3"/>
          </w:tcPr>
          <w:p>
            <w:pPr>
              <w:spacing w:after="0"/>
              <w:rPr>
                <w:sz w:val="20"/>
                <w:szCs w:val="20"/>
                <w:color w:val="auto"/>
              </w:rPr>
            </w:pPr>
            <w:r>
              <w:rPr>
                <w:rFonts w:ascii="Arial" w:cs="Arial" w:eastAsia="Arial" w:hAnsi="Arial"/>
                <w:sz w:val="14"/>
                <w:szCs w:val="14"/>
                <w:b w:val="1"/>
                <w:bCs w:val="1"/>
                <w:color w:val="auto"/>
              </w:rPr>
              <w:t>Projects</w:t>
            </w:r>
          </w:p>
        </w:tc>
        <w:tc>
          <w:tcPr>
            <w:tcW w:w="920" w:type="dxa"/>
            <w:vAlign w:val="bottom"/>
            <w:gridSpan w:val="4"/>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Radio transmitters and transceivers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Optoelectronic</w:t>
            </w: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Power</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 radio transmitters and transceivers projects enable the delivery of data over proprietary, short range wireless links. The optoelectronic projects are used for infrared data communications and proximity sensing. The power projects enable AC-DC conversion in power supply systems.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January 1, 2011 (Continued)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Goodwill and Other Intangible Assets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summarizes the activity in goodwill for the years ended January 1, 2011 and January 2, 2010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29"/>
        </w:trPr>
        <w:tc>
          <w:tcPr>
            <w:tcW w:w="4940" w:type="dxa"/>
            <w:vAlign w:val="bottom"/>
          </w:tcPr>
          <w:p>
            <w:pPr>
              <w:spacing w:after="0"/>
              <w:rPr>
                <w:sz w:val="11"/>
                <w:szCs w:val="11"/>
                <w:color w:val="auto"/>
              </w:rPr>
            </w:pPr>
          </w:p>
        </w:tc>
        <w:tc>
          <w:tcPr>
            <w:tcW w:w="960" w:type="dxa"/>
            <w:vAlign w:val="bottom"/>
            <w:tcBorders>
              <w:top w:val="single" w:sz="8" w:color="auto"/>
            </w:tcBorders>
            <w:gridSpan w:val="4"/>
          </w:tcPr>
          <w:p>
            <w:pPr>
              <w:ind w:left="100"/>
              <w:spacing w:after="0" w:line="129" w:lineRule="exact"/>
              <w:rPr>
                <w:sz w:val="20"/>
                <w:szCs w:val="20"/>
                <w:color w:val="auto"/>
              </w:rPr>
            </w:pPr>
            <w:r>
              <w:rPr>
                <w:rFonts w:ascii="Arial" w:cs="Arial" w:eastAsia="Arial" w:hAnsi="Arial"/>
                <w:sz w:val="14"/>
                <w:szCs w:val="14"/>
                <w:b w:val="1"/>
                <w:bCs w:val="1"/>
                <w:color w:val="auto"/>
              </w:rPr>
              <w:t>January 1,</w:t>
            </w:r>
          </w:p>
        </w:tc>
        <w:tc>
          <w:tcPr>
            <w:tcW w:w="7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8"/>
              </w:rPr>
              <w:t>January 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105,109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105,515</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Additions due to business combinations</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7,187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1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112,296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105,109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gross carrying amount and accumulated amortization of other intangible assets are as follows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Weighted-Average</w:t>
            </w:r>
          </w:p>
        </w:tc>
        <w:tc>
          <w:tcPr>
            <w:tcW w:w="100" w:type="dxa"/>
            <w:vAlign w:val="bottom"/>
          </w:tcPr>
          <w:p>
            <w:pPr>
              <w:spacing w:after="0"/>
              <w:rPr>
                <w:sz w:val="14"/>
                <w:szCs w:val="14"/>
                <w:color w:val="auto"/>
              </w:rPr>
            </w:pPr>
          </w:p>
        </w:tc>
        <w:tc>
          <w:tcPr>
            <w:tcW w:w="17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January 1, 2011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January 2, 2010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300" w:type="dxa"/>
            <w:vAlign w:val="bottom"/>
            <w:gridSpan w:val="2"/>
            <w:vMerge w:val="restart"/>
          </w:tcPr>
          <w:p>
            <w:pPr>
              <w:jc w:val="center"/>
              <w:ind w:right="180"/>
              <w:spacing w:after="0" w:line="136" w:lineRule="exact"/>
              <w:rPr>
                <w:sz w:val="20"/>
                <w:szCs w:val="20"/>
                <w:color w:val="auto"/>
              </w:rPr>
            </w:pPr>
            <w:r>
              <w:rPr>
                <w:rFonts w:ascii="Arial" w:cs="Arial" w:eastAsia="Arial" w:hAnsi="Arial"/>
                <w:sz w:val="14"/>
                <w:szCs w:val="14"/>
                <w:b w:val="1"/>
                <w:bCs w:val="1"/>
                <w:color w:val="auto"/>
                <w:w w:val="88"/>
              </w:rPr>
              <w:t>Amortization</w:t>
            </w: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9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Period</w:t>
            </w:r>
          </w:p>
        </w:tc>
        <w:tc>
          <w:tcPr>
            <w:tcW w:w="100" w:type="dxa"/>
            <w:vAlign w:val="bottom"/>
          </w:tcPr>
          <w:p>
            <w:pPr>
              <w:spacing w:after="0"/>
              <w:rPr>
                <w:sz w:val="12"/>
                <w:szCs w:val="12"/>
                <w:color w:val="auto"/>
              </w:rPr>
            </w:pPr>
          </w:p>
        </w:tc>
        <w:tc>
          <w:tcPr>
            <w:tcW w:w="600" w:type="dxa"/>
            <w:vAlign w:val="bottom"/>
          </w:tcPr>
          <w:p>
            <w:pPr>
              <w:jc w:val="right"/>
              <w:ind w:right="118"/>
              <w:spacing w:after="0" w:line="149" w:lineRule="exact"/>
              <w:rPr>
                <w:sz w:val="20"/>
                <w:szCs w:val="20"/>
                <w:color w:val="auto"/>
              </w:rPr>
            </w:pPr>
            <w:r>
              <w:rPr>
                <w:rFonts w:ascii="Arial" w:cs="Arial" w:eastAsia="Arial" w:hAnsi="Arial"/>
                <w:sz w:val="14"/>
                <w:szCs w:val="14"/>
                <w:b w:val="1"/>
                <w:bCs w:val="1"/>
                <w:color w:val="auto"/>
                <w:w w:val="93"/>
              </w:rPr>
              <w:t>Gross</w:t>
            </w:r>
          </w:p>
        </w:tc>
        <w:tc>
          <w:tcPr>
            <w:tcW w:w="160" w:type="dxa"/>
            <w:vAlign w:val="bottom"/>
          </w:tcPr>
          <w:p>
            <w:pPr>
              <w:spacing w:after="0"/>
              <w:rPr>
                <w:sz w:val="12"/>
                <w:szCs w:val="12"/>
                <w:color w:val="auto"/>
              </w:rPr>
            </w:pPr>
          </w:p>
        </w:tc>
        <w:tc>
          <w:tcPr>
            <w:tcW w:w="102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98"/>
              <w:spacing w:after="0" w:line="149" w:lineRule="exact"/>
              <w:rPr>
                <w:sz w:val="20"/>
                <w:szCs w:val="20"/>
                <w:color w:val="auto"/>
              </w:rPr>
            </w:pPr>
            <w:r>
              <w:rPr>
                <w:rFonts w:ascii="Arial" w:cs="Arial" w:eastAsia="Arial" w:hAnsi="Arial"/>
                <w:sz w:val="14"/>
                <w:szCs w:val="14"/>
                <w:b w:val="1"/>
                <w:bCs w:val="1"/>
                <w:color w:val="auto"/>
                <w:w w:val="98"/>
              </w:rPr>
              <w:t>Gross</w:t>
            </w:r>
          </w:p>
        </w:tc>
        <w:tc>
          <w:tcPr>
            <w:tcW w:w="16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(Years)</w:t>
            </w:r>
          </w:p>
        </w:tc>
        <w:tc>
          <w:tcPr>
            <w:tcW w:w="100" w:type="dxa"/>
            <w:vAlign w:val="bottom"/>
          </w:tcPr>
          <w:p>
            <w:pPr>
              <w:spacing w:after="0"/>
              <w:rPr>
                <w:sz w:val="14"/>
                <w:szCs w:val="14"/>
                <w:color w:val="auto"/>
              </w:rPr>
            </w:pPr>
          </w:p>
        </w:tc>
        <w:tc>
          <w:tcPr>
            <w:tcW w:w="600" w:type="dxa"/>
            <w:vAlign w:val="bottom"/>
          </w:tcPr>
          <w:p>
            <w:pPr>
              <w:jc w:val="right"/>
              <w:ind w:right="38"/>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5"/>
              </w:rPr>
              <w:t>Amortization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8"/>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Subject to amortization:</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Core and developed technology</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64,270</w:t>
            </w:r>
          </w:p>
        </w:tc>
        <w:tc>
          <w:tcPr>
            <w:tcW w:w="38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(22,383)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54,920</w:t>
            </w:r>
          </w:p>
        </w:tc>
        <w:tc>
          <w:tcPr>
            <w:tcW w:w="40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60"/>
              <w:spacing w:after="0"/>
              <w:rPr>
                <w:sz w:val="20"/>
                <w:szCs w:val="20"/>
                <w:color w:val="auto"/>
              </w:rPr>
            </w:pPr>
            <w:r>
              <w:rPr>
                <w:rFonts w:ascii="Arial" w:cs="Arial" w:eastAsia="Arial" w:hAnsi="Arial"/>
                <w:sz w:val="18"/>
                <w:szCs w:val="18"/>
                <w:color w:val="auto"/>
              </w:rPr>
              <w:t>Customer relationships</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3,410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(1,766)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3,380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Patents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ind w:left="260"/>
              <w:spacing w:after="0"/>
              <w:rPr>
                <w:sz w:val="20"/>
                <w:szCs w:val="20"/>
                <w:color w:val="auto"/>
              </w:rPr>
            </w:pPr>
            <w:r>
              <w:rPr>
                <w:rFonts w:ascii="Arial" w:cs="Arial" w:eastAsia="Arial" w:hAnsi="Arial"/>
                <w:sz w:val="18"/>
                <w:szCs w:val="18"/>
                <w:color w:val="auto"/>
              </w:rPr>
              <w:t>Internal use software</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70,578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63,538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(21,652)</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Not subject to amortization:</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In-process research and development</w:t>
            </w:r>
          </w:p>
        </w:tc>
        <w:tc>
          <w:tcPr>
            <w:tcW w:w="13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Not amortized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gridSpan w:val="2"/>
            <w:vMerge w:val="restart"/>
          </w:tcPr>
          <w:p>
            <w:pPr>
              <w:spacing w:after="0"/>
              <w:rPr>
                <w:sz w:val="20"/>
                <w:szCs w:val="20"/>
                <w:color w:val="auto"/>
              </w:rPr>
            </w:pPr>
            <w:r>
              <w:rPr>
                <w:rFonts w:ascii="Arial" w:cs="Arial" w:eastAsia="Arial" w:hAnsi="Arial"/>
                <w:sz w:val="18"/>
                <w:szCs w:val="18"/>
                <w:color w:val="auto"/>
              </w:rPr>
              <w:t>Total intangible assets</w:t>
            </w: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0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80,048</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69"/>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63,538</w:t>
            </w: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66"/>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(21,652)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increase in intangible assets in fiscal 2010 was from the acquisition of Silicon Clocks and ChipSensors. Amortization expense related to intangible assets for fiscal 2010, 2009 and 2008 was $7.5 million, $7.8 million and $5.7 million, respectively. Fully amortized assets are written off against</w:t>
      </w:r>
    </w:p>
    <w:p>
      <w:pPr>
        <w:spacing w:after="0" w:line="13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131" w:right="67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January 1, 2011 (Continued)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Goodwill and Other Intangible Assets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accumulated amortization. The estimated aggregate amortization expense for intangible assets subject to amortization for each of the five succeeding fiscal years is as follows (in thousands):</w:t>
      </w:r>
    </w:p>
    <w:p>
      <w:pPr>
        <w:spacing w:after="0" w:line="182"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91"/>
              </w:rPr>
              <w:t>Fiscal Year</w:t>
            </w:r>
          </w:p>
        </w:tc>
        <w:tc>
          <w:tcPr>
            <w:tcW w:w="61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2011</w:t>
            </w:r>
          </w:p>
        </w:tc>
        <w:tc>
          <w:tcPr>
            <w:tcW w:w="6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  7,892</w:t>
            </w: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2012</w:t>
            </w:r>
          </w:p>
        </w:tc>
        <w:tc>
          <w:tcPr>
            <w:tcW w:w="6140" w:type="dxa"/>
            <w:vAlign w:val="bottom"/>
          </w:tcPr>
          <w:p>
            <w:pPr>
              <w:jc w:val="right"/>
              <w:ind w:right="72"/>
              <w:spacing w:after="0"/>
              <w:rPr>
                <w:sz w:val="20"/>
                <w:szCs w:val="20"/>
                <w:color w:val="auto"/>
              </w:rPr>
            </w:pPr>
            <w:r>
              <w:rPr>
                <w:rFonts w:ascii="Arial" w:cs="Arial" w:eastAsia="Arial" w:hAnsi="Arial"/>
                <w:sz w:val="18"/>
                <w:szCs w:val="18"/>
                <w:color w:val="auto"/>
              </w:rPr>
              <w:t>7,421</w:t>
            </w: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6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5,980</w:t>
            </w: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2014</w:t>
            </w:r>
          </w:p>
        </w:tc>
        <w:tc>
          <w:tcPr>
            <w:tcW w:w="6140" w:type="dxa"/>
            <w:vAlign w:val="bottom"/>
          </w:tcPr>
          <w:p>
            <w:pPr>
              <w:jc w:val="right"/>
              <w:ind w:right="72"/>
              <w:spacing w:after="0"/>
              <w:rPr>
                <w:sz w:val="20"/>
                <w:szCs w:val="20"/>
                <w:color w:val="auto"/>
              </w:rPr>
            </w:pPr>
            <w:r>
              <w:rPr>
                <w:rFonts w:ascii="Arial" w:cs="Arial" w:eastAsia="Arial" w:hAnsi="Arial"/>
                <w:sz w:val="18"/>
                <w:szCs w:val="18"/>
                <w:color w:val="auto"/>
              </w:rPr>
              <w:t>5,171</w:t>
            </w: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6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4,779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Company issued 1.5 million shares of common stock during fiscal 2010, net of 0.2 million shares withheld to satisfy employee tax obligations for the vesting of certain stock grants made under the Company's stock incentive plans.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Programs</w:t>
      </w:r>
    </w:p>
    <w:p>
      <w:pPr>
        <w:spacing w:after="0" w:line="225" w:lineRule="exact"/>
        <w:rPr>
          <w:sz w:val="20"/>
          <w:szCs w:val="20"/>
          <w:color w:val="auto"/>
        </w:rPr>
      </w:pPr>
    </w:p>
    <w:p>
      <w:pPr>
        <w:ind w:right="140" w:firstLine="351"/>
        <w:spacing w:after="0" w:line="312" w:lineRule="auto"/>
        <w:rPr>
          <w:sz w:val="20"/>
          <w:szCs w:val="20"/>
          <w:color w:val="auto"/>
        </w:rPr>
      </w:pPr>
      <w:r>
        <w:rPr>
          <w:rFonts w:ascii="Arial" w:cs="Arial" w:eastAsia="Arial" w:hAnsi="Arial"/>
          <w:sz w:val="15"/>
          <w:szCs w:val="15"/>
          <w:color w:val="auto"/>
        </w:rPr>
        <w:t>In July 2010, the Board of Directors adopted a share repurchase program to repurchase up to $150 million of the Company's common stock through 2011. The new program became effective immediately and terminated the remaining share repurchase authorization of the prior program. The most recent prior program, which was announced in October 2009, authorized the repurchase up to $150 million of the Company's common stock through 2010. The Company's repurchase program announced in October 2008 authorized the repurchase of up to $100 million of the Company's common stock over a 12-month period, and was completed in November 2009. These programs allow for repurchases to be made in the open market or in private transactions, including structured or accelerated transactions, subject to applicable legal requirements and market conditions. The Company repurchased 3.3 million shares, 0.6 million shares and 9.4 million shares of its common stock for $140.3 million, $20.2 million and $280.3 million during fiscal 2010, 2009 and 2008, respectively.</w:t>
      </w:r>
    </w:p>
    <w:p>
      <w:pPr>
        <w:spacing w:after="0" w:line="15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January 1, 2011 (Continued)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accumulated other comprehensive loss, net of taxes, were as follows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Unrealized</w:t>
            </w:r>
          </w:p>
        </w:tc>
        <w:tc>
          <w:tcPr>
            <w:tcW w:w="8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Net Unrealized Losses</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0"/>
              </w:rPr>
              <w:t>Losses on Cash</w:t>
            </w:r>
          </w:p>
        </w:tc>
        <w:tc>
          <w:tcPr>
            <w:tcW w:w="8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on Available-</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5"/>
              </w:rPr>
              <w:t>Flow Hedges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6"/>
              </w:rPr>
              <w:t>For-Sale Securities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2, 2010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(4,356)</w:t>
            </w:r>
          </w:p>
        </w:tc>
        <w:tc>
          <w:tcPr>
            <w:tcW w:w="0" w:type="dxa"/>
            <w:vAlign w:val="bottom"/>
          </w:tcPr>
          <w:p>
            <w:pPr>
              <w:spacing w:after="0"/>
              <w:rPr>
                <w:sz w:val="1"/>
                <w:szCs w:val="1"/>
                <w:color w:val="auto"/>
              </w:rPr>
            </w:pPr>
          </w:p>
        </w:tc>
      </w:tr>
      <w:tr>
        <w:trPr>
          <w:trHeight w:val="208"/>
        </w:trPr>
        <w:tc>
          <w:tcPr>
            <w:tcW w:w="3120" w:type="dxa"/>
            <w:vAlign w:val="bottom"/>
          </w:tcPr>
          <w:p>
            <w:pPr>
              <w:spacing w:after="0"/>
              <w:rPr>
                <w:sz w:val="20"/>
                <w:szCs w:val="20"/>
                <w:color w:val="auto"/>
              </w:rPr>
            </w:pPr>
            <w:r>
              <w:rPr>
                <w:rFonts w:ascii="Arial" w:cs="Arial" w:eastAsia="Arial" w:hAnsi="Arial"/>
                <w:sz w:val="18"/>
                <w:szCs w:val="18"/>
                <w:color w:val="auto"/>
              </w:rPr>
              <w:t>Change associated with current period</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20" w:type="dxa"/>
            <w:vAlign w:val="bottom"/>
          </w:tcPr>
          <w:p>
            <w:pPr>
              <w:ind w:left="180"/>
              <w:spacing w:after="0"/>
              <w:rPr>
                <w:sz w:val="20"/>
                <w:szCs w:val="20"/>
                <w:color w:val="auto"/>
              </w:rPr>
            </w:pPr>
            <w:r>
              <w:rPr>
                <w:rFonts w:ascii="Arial" w:cs="Arial" w:eastAsia="Arial" w:hAnsi="Arial"/>
                <w:sz w:val="18"/>
                <w:szCs w:val="18"/>
                <w:color w:val="auto"/>
              </w:rPr>
              <w:t>transactions, net of tax</w:t>
            </w:r>
          </w:p>
        </w:tc>
        <w:tc>
          <w:tcPr>
            <w:tcW w:w="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(1,716)</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w w:val="96"/>
              </w:rPr>
              <w:t>Amount reclassified into earnings, net of</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2,158</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7"/>
        </w:trPr>
        <w:tc>
          <w:tcPr>
            <w:tcW w:w="3120" w:type="dxa"/>
            <w:vAlign w:val="bottom"/>
            <w:vMerge w:val="restart"/>
          </w:tcPr>
          <w:p>
            <w:pPr>
              <w:spacing w:after="0"/>
              <w:rPr>
                <w:sz w:val="20"/>
                <w:szCs w:val="20"/>
                <w:color w:val="auto"/>
              </w:rPr>
            </w:pPr>
            <w:r>
              <w:rPr>
                <w:rFonts w:ascii="Arial" w:cs="Arial" w:eastAsia="Arial" w:hAnsi="Arial"/>
                <w:sz w:val="18"/>
                <w:szCs w:val="18"/>
                <w:color w:val="auto"/>
              </w:rPr>
              <w:t>Balance at January 1, 2011</w:t>
            </w:r>
          </w:p>
        </w:tc>
        <w:tc>
          <w:tcPr>
            <w:tcW w:w="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120" w:type="dxa"/>
            <w:vAlign w:val="bottom"/>
            <w:vMerge w:val="continue"/>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(2,477)</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(3,648)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fiscal 2009, the stockholders of the Company approved the 2009 Stock Incentive Plan (the "2009 Plan") and the 2009 Employee Stock Purchase Plan (the "2009 Purchase Plan"). The 2009 Plan is currently effective, and no further grants will be issued under the Company's 2000 Stock Incentive Plan (the "2000 Plan") as of the effective date of the 2009 Plan. The 2009 Plan has a term of 10 years from the shareholders' approval date. The 2009 Purchase Plan became effective upon the termination of the previous Employee Stock Purchase Plan (the "Purchase Plan"), on April 30, 2010.</w:t>
      </w:r>
    </w:p>
    <w:p>
      <w:pPr>
        <w:spacing w:after="0" w:line="167"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amount of shares reserved for the Purchase Plan increased by 230 thousand shares on the first stock market trading day of 2010. There is no provision for an automatic share reserve increase in either the 2009 Plan or the 2009 Purchase Plan.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2009 Stock Incentive Plan</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Under the 2009 Plan, the following may be granted: stock options, stock appreciation rights, performance shares, performance stock units, restricted stock units (RSUs), restricted stock awards (RSAs), performance-based awards and other awards (collectively, all such grants are referred to as "awards"). Awards of stock options and stock appreciation rights each deduct one share from the 2009 Plan shares available for issuance for each share granted, and full value awards (awards other than for which the participant is required to pay at least the fair market value of the underlying shares on the date of grant) deduct 1.55 shares from the 2009 Plan shares available for issuance for each share granted. Awards granted under the 2009 Plan generally contain vesting provisions ranging from three to four years. The exercise price of stock options granted under the 2009 Plan may not be less than 100% of the fair market value of a share of our common stock on the date of grant. To the extent awards granted under the 2009 Plan terminate, expire or lapse for any reason, or are settled in cash, shares subject to such awards will again be available for grant.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1, 2011 (Continued)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2000 Stock Incentive Plan</w:t>
      </w:r>
    </w:p>
    <w:p>
      <w:pPr>
        <w:spacing w:after="0" w:line="225" w:lineRule="exact"/>
        <w:rPr>
          <w:sz w:val="20"/>
          <w:szCs w:val="20"/>
          <w:color w:val="auto"/>
        </w:rPr>
      </w:pPr>
    </w:p>
    <w:p>
      <w:pPr>
        <w:ind w:right="340" w:firstLine="351"/>
        <w:spacing w:after="0" w:line="302" w:lineRule="auto"/>
        <w:rPr>
          <w:sz w:val="20"/>
          <w:szCs w:val="20"/>
          <w:color w:val="auto"/>
        </w:rPr>
      </w:pPr>
      <w:r>
        <w:rPr>
          <w:rFonts w:ascii="Arial" w:cs="Arial" w:eastAsia="Arial" w:hAnsi="Arial"/>
          <w:sz w:val="15"/>
          <w:szCs w:val="15"/>
          <w:color w:val="auto"/>
        </w:rPr>
        <w:t>In fiscal 2000, the Company's Board of Directors and stockholders approved the 2000 Plan. The 2000 Plan contains programs for (i) the discretionary granting of stock options to employees, non-employee board members and consultants for the purchase of shares of the Company's common stock, (ii) the discretionary issuance of common stock directly (as granted under direct issuance shares in RSAs and RSUs), (iii) the granting of special below-market stock options to executive officers and other highly compensated employees of the Company for which the exercise price can be paid using payroll deductions and</w:t>
      </w:r>
    </w:p>
    <w:p>
      <w:pPr>
        <w:spacing w:after="0" w:line="3" w:lineRule="exact"/>
        <w:rPr>
          <w:sz w:val="20"/>
          <w:szCs w:val="20"/>
          <w:color w:val="auto"/>
        </w:rPr>
      </w:pPr>
    </w:p>
    <w:p>
      <w:pPr>
        <w:ind w:right="100" w:firstLine="8"/>
        <w:spacing w:after="0" w:line="253" w:lineRule="auto"/>
        <w:tabs>
          <w:tab w:leader="none" w:pos="29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automatic issuance of stock options to non-employee board members. The discretionary issuance of common stock, RSUs and stock options generally contain vesting provisions ranging from three to eight years. If permitted by the Company, stock options can be exercised immediately and, similar to the direct issuance shares, are subject to repurchase rights which generally lapse in accordance with the vesting schedule. The repurchase rights provide that upon certain defined events, the Company can repurchase unvested shares at the price paid per share. The term of each stock option is no more than ten years from the date of grant.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Grants and Modifications</w:t>
      </w:r>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Company granted to its employees 0.8 million and 0.2 million shares of full value awards from the 2009 Plan during fiscal 2010 and 2009, respectively. The Company granted to its employees zero, zero and 0.3 million stock options, and zero, 0.8 million and 1.0 million of full value awards from the 2000 Plan during fiscal 2010, 2009 and 2008, respectively. There were no significant modifications made to any stock grants during these periods.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2009 Employee Stock Purchase Plan</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rights to purchase common stock granted under the 2009 Purchase Plan are intended to be treated as either (i) purchase rights granted under an "employee stock purchase plan," as that term is defined in Section 423(b) of the Internal Revenue Code (the "423(b) Plan"), or (ii) purchase rights granted under an employee stock purchase plan that is not subject to the terms and conditions of Section 423(b) of the Internal Revenue Code (the "Non-423(b) Plan"). The Company will retain the discretion to grant purchase rights under either the 423(b) Plan or the Non-423(b) Plan. Eligible employees may purchase a limited number of shares of the Company's common stock at no less than 85% of the fair market value of a share of common stock at prescribed purchase intervals during an offering period. Each offering period will be comprised of a series of one or more successive and/or overlapping purchase intervals and has a maximum term of 24 months. During fiscal 2010, the Company issued 75 thousand shares under the 2009 Purchase Plan to its employees. The weighted-average fair value for purchase rights granted under the 2009 Purchase Plan for fiscal 2010 was $12.84 per share.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Purchase Plan was adopted by the Company's Board of Directors in fiscal 2000. Eligible employees could purchase a limited number of shares of the Company's common stock at 85% of the market value during a series of offering periods. Each offering period is divided into semi-annual purchase intervals and has a maximum term of 24 months. During fiscal 2010, 2009 and 2008,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January 1, 2011 (Continued)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Company issued 79 thousand, 148 thousand and 120 thousand shares, respectively, under the Purchase Plan to its employees. There were no purchase rights granted under the Purchase Plan for fiscal 2010.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225"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Stock-based compensation costs are generally based on the fair values on the date of grant for stock options and on the date of enrollment for the employee stock purchase plans, estimated by using the Black-Scholes option-pricing model. The fair values of full value awards generally equal their intrinsic value on the date of grant.</w:t>
      </w:r>
    </w:p>
    <w:p>
      <w:pPr>
        <w:spacing w:after="0" w:line="194" w:lineRule="exact"/>
        <w:rPr>
          <w:sz w:val="20"/>
          <w:szCs w:val="20"/>
          <w:color w:val="auto"/>
        </w:rPr>
      </w:pPr>
    </w:p>
    <w:p>
      <w:pPr>
        <w:ind w:right="240" w:firstLine="348"/>
        <w:spacing w:after="0" w:line="294" w:lineRule="auto"/>
        <w:rPr>
          <w:sz w:val="20"/>
          <w:szCs w:val="20"/>
          <w:color w:val="auto"/>
        </w:rPr>
      </w:pPr>
      <w:r>
        <w:rPr>
          <w:rFonts w:ascii="Arial" w:cs="Arial" w:eastAsia="Arial" w:hAnsi="Arial"/>
          <w:sz w:val="16"/>
          <w:szCs w:val="16"/>
          <w:color w:val="auto"/>
        </w:rPr>
        <w:t>The Black-Scholes valuation calculation requires the Company to estimate key assumptions such as future stock price volatility, expected terms, risk-free rates and dividend yield. Expected stock price volatility is based upon a combination of both historical volatility and implied volatility derived from traded options on the Company's stock in the marketplace. Expected term is derived from an analysis of historical exercises and remaining contractual life of options. The risk-free rate is based on the U.S. Treasury yield curve in effect at the time of grant. The Company has never paid cash dividends and does not currently intend to pay cash dividends, thus it has assumed a 0% dividend yield.</w:t>
      </w:r>
    </w:p>
    <w:p>
      <w:pPr>
        <w:spacing w:after="0" w:line="170"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must estimate potential forfeitures of stock grants and adjust compensation cost recorded accordingly. The estimate of forfeitures will be adjusted over the requisite service period to the extent that actual forfeitures differ, or are expected to differ, from such estimates. Changes in estimated forfeitures are recognized through a cumulative catch-up adjustment in the period of change and will also impact the amount of stock compensation expense to be recognized in future periods.</w:t>
      </w:r>
    </w:p>
    <w:p>
      <w:pPr>
        <w:spacing w:after="0" w:line="197"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fair values of stock options and RSUs are amortized as compensation expense on a straight-line basis over the vesting period of the grants. The fair values of RSAs are fully expensed in the period of grant, when shares are immediately issued with no vesting restrictions. Compensation expense recognized is shown in the operating activities section of the Consolidated Statements of Cash Flows.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1, 2011 (Continued)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fair values estimated from the Black-Scholes option-pricing model were calculated using the following assumptions: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88"/>
              </w:rPr>
              <w:t>Year Ended</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4"/>
          </w:tcPr>
          <w:p>
            <w:pPr>
              <w:jc w:val="center"/>
              <w:ind w:right="92"/>
              <w:spacing w:after="0" w:line="129" w:lineRule="exact"/>
              <w:rPr>
                <w:sz w:val="20"/>
                <w:szCs w:val="20"/>
                <w:color w:val="auto"/>
              </w:rPr>
            </w:pPr>
            <w:r>
              <w:rPr>
                <w:rFonts w:ascii="Arial" w:cs="Arial" w:eastAsia="Arial" w:hAnsi="Arial"/>
                <w:sz w:val="14"/>
                <w:szCs w:val="14"/>
                <w:b w:val="1"/>
                <w:bCs w:val="1"/>
                <w:color w:val="auto"/>
                <w:w w:val="89"/>
              </w:rPr>
              <w:t>January 1,</w:t>
            </w:r>
          </w:p>
        </w:tc>
        <w:tc>
          <w:tcPr>
            <w:tcW w:w="94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January 2,</w:t>
            </w:r>
          </w:p>
        </w:tc>
        <w:tc>
          <w:tcPr>
            <w:tcW w:w="40" w:type="dxa"/>
            <w:vAlign w:val="bottom"/>
          </w:tcPr>
          <w:p>
            <w:pPr>
              <w:spacing w:after="0"/>
              <w:rPr>
                <w:sz w:val="11"/>
                <w:szCs w:val="11"/>
                <w:color w:val="auto"/>
              </w:rPr>
            </w:pPr>
          </w:p>
        </w:tc>
        <w:tc>
          <w:tcPr>
            <w:tcW w:w="7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January 3,</w:t>
            </w:r>
          </w:p>
        </w:tc>
        <w:tc>
          <w:tcPr>
            <w:tcW w:w="1300" w:type="dxa"/>
            <w:vAlign w:val="bottom"/>
            <w:gridSpan w:val="2"/>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2010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76"/>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2009 Stock Incentive Plan: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40" w:type="dxa"/>
            <w:vAlign w:val="bottom"/>
            <w:gridSpan w:val="3"/>
          </w:tcPr>
          <w:p>
            <w:pPr>
              <w:ind w:left="120"/>
              <w:spacing w:after="0"/>
              <w:rPr>
                <w:sz w:val="20"/>
                <w:szCs w:val="20"/>
                <w:color w:val="auto"/>
              </w:rPr>
            </w:pPr>
            <w:r>
              <w:rPr>
                <w:rFonts w:ascii="Arial" w:cs="Arial" w:eastAsia="Arial" w:hAnsi="Arial"/>
                <w:sz w:val="18"/>
                <w:szCs w:val="18"/>
                <w:color w:val="auto"/>
              </w:rPr>
              <w:t>Expected volatility</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gridSpan w:val="3"/>
          </w:tcPr>
          <w:p>
            <w:pPr>
              <w:ind w:left="56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Risk-free interest rate %</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40" w:type="dxa"/>
            <w:vAlign w:val="bottom"/>
            <w:gridSpan w:val="3"/>
          </w:tcPr>
          <w:p>
            <w:pPr>
              <w:ind w:left="120"/>
              <w:spacing w:after="0"/>
              <w:rPr>
                <w:sz w:val="20"/>
                <w:szCs w:val="20"/>
                <w:color w:val="auto"/>
              </w:rPr>
            </w:pPr>
            <w:r>
              <w:rPr>
                <w:rFonts w:ascii="Arial" w:cs="Arial" w:eastAsia="Arial" w:hAnsi="Arial"/>
                <w:sz w:val="18"/>
                <w:szCs w:val="18"/>
                <w:color w:val="auto"/>
              </w:rPr>
              <w:t>Expected term (in years)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gridSpan w:val="3"/>
          </w:tcPr>
          <w:p>
            <w:pPr>
              <w:ind w:left="56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Dividend yield</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r>
      <w:tr>
        <w:trPr>
          <w:trHeight w:val="431"/>
        </w:trPr>
        <w:tc>
          <w:tcPr>
            <w:tcW w:w="6400" w:type="dxa"/>
            <w:vAlign w:val="bottom"/>
            <w:gridSpan w:val="4"/>
          </w:tcPr>
          <w:p>
            <w:pPr>
              <w:ind w:left="1140"/>
              <w:spacing w:after="0"/>
              <w:rPr>
                <w:sz w:val="20"/>
                <w:szCs w:val="20"/>
                <w:color w:val="auto"/>
              </w:rPr>
            </w:pPr>
            <w:r>
              <w:rPr>
                <w:rFonts w:ascii="Arial" w:cs="Arial" w:eastAsia="Arial" w:hAnsi="Arial"/>
                <w:sz w:val="18"/>
                <w:szCs w:val="18"/>
                <w:i w:val="1"/>
                <w:iCs w:val="1"/>
                <w:color w:val="auto"/>
              </w:rPr>
              <w:t>2000 Stock Incentive Plan:</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7"/>
        </w:trPr>
        <w:tc>
          <w:tcPr>
            <w:tcW w:w="1160" w:type="dxa"/>
            <w:vAlign w:val="bottom"/>
          </w:tcPr>
          <w:p>
            <w:pPr>
              <w:spacing w:after="0"/>
              <w:rPr>
                <w:sz w:val="18"/>
                <w:szCs w:val="18"/>
                <w:color w:val="auto"/>
              </w:rPr>
            </w:pPr>
          </w:p>
        </w:tc>
        <w:tc>
          <w:tcPr>
            <w:tcW w:w="52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Expected volatility</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7"/>
              </w:rPr>
              <w:t>n/a</w:t>
            </w:r>
          </w:p>
        </w:tc>
        <w:tc>
          <w:tcPr>
            <w:tcW w:w="9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40" w:type="dxa"/>
            <w:vAlign w:val="bottom"/>
            <w:gridSpan w:val="3"/>
          </w:tcPr>
          <w:p>
            <w:pPr>
              <w:ind w:left="120"/>
              <w:spacing w:after="0"/>
              <w:rPr>
                <w:sz w:val="20"/>
                <w:szCs w:val="20"/>
                <w:color w:val="auto"/>
              </w:rPr>
            </w:pPr>
            <w:r>
              <w:rPr>
                <w:rFonts w:ascii="Arial" w:cs="Arial" w:eastAsia="Arial" w:hAnsi="Arial"/>
                <w:sz w:val="18"/>
                <w:szCs w:val="18"/>
                <w:color w:val="auto"/>
              </w:rPr>
              <w:t>Risk-free interest rate %</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92"/>
              <w:spacing w:after="0"/>
              <w:rPr>
                <w:sz w:val="20"/>
                <w:szCs w:val="20"/>
                <w:color w:val="auto"/>
              </w:rPr>
            </w:pPr>
            <w:r>
              <w:rPr>
                <w:rFonts w:ascii="Arial" w:cs="Arial" w:eastAsia="Arial" w:hAnsi="Arial"/>
                <w:sz w:val="18"/>
                <w:szCs w:val="18"/>
                <w:color w:val="auto"/>
                <w:w w:val="87"/>
              </w:rPr>
              <w:t>n/a</w:t>
            </w:r>
          </w:p>
        </w:tc>
        <w:tc>
          <w:tcPr>
            <w:tcW w:w="94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Expected term (in years)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7"/>
              </w:rPr>
              <w:t>n/a</w:t>
            </w:r>
          </w:p>
        </w:tc>
        <w:tc>
          <w:tcPr>
            <w:tcW w:w="9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40" w:type="dxa"/>
            <w:vAlign w:val="bottom"/>
            <w:gridSpan w:val="3"/>
          </w:tcPr>
          <w:p>
            <w:pPr>
              <w:ind w:left="120"/>
              <w:spacing w:after="0"/>
              <w:rPr>
                <w:sz w:val="20"/>
                <w:szCs w:val="20"/>
                <w:color w:val="auto"/>
              </w:rPr>
            </w:pPr>
            <w:r>
              <w:rPr>
                <w:rFonts w:ascii="Arial" w:cs="Arial" w:eastAsia="Arial" w:hAnsi="Arial"/>
                <w:sz w:val="18"/>
                <w:szCs w:val="18"/>
                <w:color w:val="auto"/>
              </w:rPr>
              <w:t>Dividend yield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92"/>
              <w:spacing w:after="0"/>
              <w:rPr>
                <w:sz w:val="20"/>
                <w:szCs w:val="20"/>
                <w:color w:val="auto"/>
              </w:rPr>
            </w:pPr>
            <w:r>
              <w:rPr>
                <w:rFonts w:ascii="Arial" w:cs="Arial" w:eastAsia="Arial" w:hAnsi="Arial"/>
                <w:sz w:val="18"/>
                <w:szCs w:val="18"/>
                <w:color w:val="auto"/>
                <w:w w:val="87"/>
              </w:rPr>
              <w:t>n/a</w:t>
            </w:r>
          </w:p>
        </w:tc>
        <w:tc>
          <w:tcPr>
            <w:tcW w:w="94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432"/>
        </w:trPr>
        <w:tc>
          <w:tcPr>
            <w:tcW w:w="1160" w:type="dxa"/>
            <w:vAlign w:val="bottom"/>
          </w:tcPr>
          <w:p>
            <w:pPr>
              <w:spacing w:after="0"/>
              <w:rPr>
                <w:sz w:val="24"/>
                <w:szCs w:val="24"/>
                <w:color w:val="auto"/>
              </w:rPr>
            </w:pPr>
          </w:p>
        </w:tc>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2009 Employee Stock Purchase Plan:</w:t>
            </w: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5240" w:type="dxa"/>
            <w:vAlign w:val="bottom"/>
            <w:gridSpan w:val="3"/>
          </w:tcPr>
          <w:p>
            <w:pPr>
              <w:ind w:left="120"/>
              <w:spacing w:after="0"/>
              <w:rPr>
                <w:sz w:val="20"/>
                <w:szCs w:val="20"/>
                <w:color w:val="auto"/>
              </w:rPr>
            </w:pPr>
            <w:r>
              <w:rPr>
                <w:rFonts w:ascii="Arial" w:cs="Arial" w:eastAsia="Arial" w:hAnsi="Arial"/>
                <w:sz w:val="18"/>
                <w:szCs w:val="18"/>
                <w:color w:val="auto"/>
              </w:rPr>
              <w:t>Expected volatility</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9"/>
              </w:rPr>
              <w:t>32%</w:t>
            </w:r>
          </w:p>
        </w:tc>
        <w:tc>
          <w:tcPr>
            <w:tcW w:w="940" w:type="dxa"/>
            <w:vAlign w:val="bottom"/>
            <w:gridSpan w:val="3"/>
          </w:tcPr>
          <w:p>
            <w:pPr>
              <w:ind w:left="56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Risk-free interest rate %</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0.4%</w:t>
            </w:r>
          </w:p>
        </w:tc>
        <w:tc>
          <w:tcPr>
            <w:tcW w:w="9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40" w:type="dxa"/>
            <w:vAlign w:val="bottom"/>
            <w:gridSpan w:val="3"/>
          </w:tcPr>
          <w:p>
            <w:pPr>
              <w:ind w:left="120"/>
              <w:spacing w:after="0"/>
              <w:rPr>
                <w:sz w:val="20"/>
                <w:szCs w:val="20"/>
                <w:color w:val="auto"/>
              </w:rPr>
            </w:pPr>
            <w:r>
              <w:rPr>
                <w:rFonts w:ascii="Arial" w:cs="Arial" w:eastAsia="Arial" w:hAnsi="Arial"/>
                <w:sz w:val="18"/>
                <w:szCs w:val="18"/>
                <w:color w:val="auto"/>
              </w:rPr>
              <w:t>Expected term (in months)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940" w:type="dxa"/>
            <w:vAlign w:val="bottom"/>
            <w:gridSpan w:val="3"/>
          </w:tcPr>
          <w:p>
            <w:pPr>
              <w:ind w:left="56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Dividend yield</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r>
      <w:tr>
        <w:trPr>
          <w:trHeight w:val="431"/>
        </w:trPr>
        <w:tc>
          <w:tcPr>
            <w:tcW w:w="6400" w:type="dxa"/>
            <w:vAlign w:val="bottom"/>
            <w:gridSpan w:val="4"/>
          </w:tcPr>
          <w:p>
            <w:pPr>
              <w:ind w:left="1140"/>
              <w:spacing w:after="0"/>
              <w:rPr>
                <w:sz w:val="20"/>
                <w:szCs w:val="20"/>
                <w:color w:val="auto"/>
              </w:rPr>
            </w:pPr>
            <w:r>
              <w:rPr>
                <w:rFonts w:ascii="Arial" w:cs="Arial" w:eastAsia="Arial" w:hAnsi="Arial"/>
                <w:sz w:val="18"/>
                <w:szCs w:val="18"/>
                <w:i w:val="1"/>
                <w:iCs w:val="1"/>
                <w:color w:val="auto"/>
              </w:rPr>
              <w:t>Employee Stock Purchase Plan:</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7"/>
        </w:trPr>
        <w:tc>
          <w:tcPr>
            <w:tcW w:w="1160" w:type="dxa"/>
            <w:vAlign w:val="bottom"/>
          </w:tcPr>
          <w:p>
            <w:pPr>
              <w:spacing w:after="0"/>
              <w:rPr>
                <w:sz w:val="18"/>
                <w:szCs w:val="18"/>
                <w:color w:val="auto"/>
              </w:rPr>
            </w:pPr>
          </w:p>
        </w:tc>
        <w:tc>
          <w:tcPr>
            <w:tcW w:w="52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Expected volatility</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7"/>
              </w:rPr>
              <w:t>n/a</w:t>
            </w:r>
          </w:p>
        </w:tc>
        <w:tc>
          <w:tcPr>
            <w:tcW w:w="9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w w:val="94"/>
              </w:rPr>
              <w:t>44%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40" w:type="dxa"/>
            <w:vAlign w:val="bottom"/>
            <w:gridSpan w:val="3"/>
          </w:tcPr>
          <w:p>
            <w:pPr>
              <w:ind w:left="120"/>
              <w:spacing w:after="0"/>
              <w:rPr>
                <w:sz w:val="20"/>
                <w:szCs w:val="20"/>
                <w:color w:val="auto"/>
              </w:rPr>
            </w:pPr>
            <w:r>
              <w:rPr>
                <w:rFonts w:ascii="Arial" w:cs="Arial" w:eastAsia="Arial" w:hAnsi="Arial"/>
                <w:sz w:val="18"/>
                <w:szCs w:val="18"/>
                <w:color w:val="auto"/>
              </w:rPr>
              <w:t>Risk-free interest rate %</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92"/>
              <w:spacing w:after="0"/>
              <w:rPr>
                <w:sz w:val="20"/>
                <w:szCs w:val="20"/>
                <w:color w:val="auto"/>
              </w:rPr>
            </w:pPr>
            <w:r>
              <w:rPr>
                <w:rFonts w:ascii="Arial" w:cs="Arial" w:eastAsia="Arial" w:hAnsi="Arial"/>
                <w:sz w:val="18"/>
                <w:szCs w:val="18"/>
                <w:color w:val="auto"/>
                <w:w w:val="87"/>
              </w:rPr>
              <w:t>n/a</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Expected term (in months)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7"/>
              </w:rPr>
              <w:t>n/a</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5240" w:type="dxa"/>
            <w:vAlign w:val="bottom"/>
            <w:gridSpan w:val="3"/>
          </w:tcPr>
          <w:p>
            <w:pPr>
              <w:ind w:left="120"/>
              <w:spacing w:after="0"/>
              <w:rPr>
                <w:sz w:val="20"/>
                <w:szCs w:val="20"/>
                <w:color w:val="auto"/>
              </w:rPr>
            </w:pPr>
            <w:r>
              <w:rPr>
                <w:rFonts w:ascii="Arial" w:cs="Arial" w:eastAsia="Arial" w:hAnsi="Arial"/>
                <w:sz w:val="18"/>
                <w:szCs w:val="18"/>
                <w:color w:val="auto"/>
              </w:rPr>
              <w:t>Dividend yield</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gridSpan w:val="2"/>
          </w:tcPr>
          <w:p>
            <w:pPr>
              <w:jc w:val="right"/>
              <w:ind w:right="92"/>
              <w:spacing w:after="0"/>
              <w:rPr>
                <w:sz w:val="20"/>
                <w:szCs w:val="20"/>
                <w:color w:val="auto"/>
              </w:rPr>
            </w:pPr>
            <w:r>
              <w:rPr>
                <w:rFonts w:ascii="Arial" w:cs="Arial" w:eastAsia="Arial" w:hAnsi="Arial"/>
                <w:sz w:val="18"/>
                <w:szCs w:val="18"/>
                <w:color w:val="auto"/>
                <w:w w:val="87"/>
              </w:rPr>
              <w:t>n/a</w:t>
            </w:r>
          </w:p>
        </w:tc>
        <w:tc>
          <w:tcPr>
            <w:tcW w:w="94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102"/>
        </w:trPr>
        <w:tc>
          <w:tcPr>
            <w:tcW w:w="116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2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437"/>
        </w:trPr>
        <w:tc>
          <w:tcPr>
            <w:tcW w:w="6400" w:type="dxa"/>
            <w:vAlign w:val="bottom"/>
            <w:gridSpan w:val="4"/>
          </w:tcPr>
          <w:p>
            <w:pPr>
              <w:ind w:left="1140"/>
              <w:spacing w:after="0"/>
              <w:rPr>
                <w:sz w:val="20"/>
                <w:szCs w:val="20"/>
                <w:color w:val="auto"/>
              </w:rPr>
            </w:pPr>
            <w:r>
              <w:rPr>
                <w:rFonts w:ascii="Arial" w:cs="Arial" w:eastAsia="Arial" w:hAnsi="Arial"/>
                <w:sz w:val="18"/>
                <w:szCs w:val="18"/>
                <w:color w:val="auto"/>
              </w:rPr>
              <w:t>n/a—Notapplicable</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6400" w:type="dxa"/>
            <w:vAlign w:val="bottom"/>
            <w:gridSpan w:val="4"/>
          </w:tcPr>
          <w:p>
            <w:pPr>
              <w:ind w:left="360"/>
              <w:spacing w:after="0"/>
              <w:rPr>
                <w:sz w:val="20"/>
                <w:szCs w:val="20"/>
                <w:color w:val="auto"/>
              </w:rPr>
            </w:pPr>
            <w:r>
              <w:rPr>
                <w:rFonts w:ascii="Arial" w:cs="Arial" w:eastAsia="Arial" w:hAnsi="Arial"/>
                <w:sz w:val="18"/>
                <w:szCs w:val="18"/>
                <w:color w:val="auto"/>
              </w:rPr>
              <w:t>There were no stock options granted during fiscal 2010 or 2009.</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6400" w:type="dxa"/>
            <w:vAlign w:val="bottom"/>
            <w:gridSpan w:val="4"/>
          </w:tcPr>
          <w:p>
            <w:pPr>
              <w:ind w:left="340"/>
              <w:spacing w:after="0"/>
              <w:rPr>
                <w:sz w:val="20"/>
                <w:szCs w:val="20"/>
                <w:color w:val="auto"/>
              </w:rPr>
            </w:pPr>
            <w:r>
              <w:rPr>
                <w:rFonts w:ascii="Arial" w:cs="Arial" w:eastAsia="Arial" w:hAnsi="Arial"/>
                <w:sz w:val="18"/>
                <w:szCs w:val="18"/>
                <w:color w:val="auto"/>
                <w:w w:val="90"/>
              </w:rPr>
              <w:t>A summary of stock-based compensation activity with respect to fiscal 2010 follows: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54"/>
        </w:trPr>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8"/>
              </w:rPr>
              <w:t>Weighted-</w:t>
            </w:r>
          </w:p>
        </w:tc>
        <w:tc>
          <w:tcPr>
            <w:tcW w:w="13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6"/>
              </w:rPr>
              <w:t>Weighted-Average</w:t>
            </w:r>
          </w:p>
        </w:tc>
        <w:tc>
          <w:tcPr>
            <w:tcW w:w="40" w:type="dxa"/>
            <w:vAlign w:val="bottom"/>
          </w:tcPr>
          <w:p>
            <w:pPr>
              <w:spacing w:after="0"/>
              <w:rPr>
                <w:sz w:val="24"/>
                <w:szCs w:val="24"/>
                <w:color w:val="auto"/>
              </w:rPr>
            </w:pPr>
          </w:p>
        </w:tc>
        <w:tc>
          <w:tcPr>
            <w:tcW w:w="2020" w:type="dxa"/>
            <w:vAlign w:val="bottom"/>
            <w:gridSpan w:val="4"/>
          </w:tcPr>
          <w:p>
            <w:pPr>
              <w:jc w:val="center"/>
              <w:ind w:right="1320"/>
              <w:spacing w:after="0"/>
              <w:rPr>
                <w:sz w:val="20"/>
                <w:szCs w:val="20"/>
                <w:color w:val="auto"/>
              </w:rPr>
            </w:pPr>
            <w:r>
              <w:rPr>
                <w:rFonts w:ascii="Arial" w:cs="Arial" w:eastAsia="Arial" w:hAnsi="Arial"/>
                <w:sz w:val="14"/>
                <w:szCs w:val="14"/>
                <w:b w:val="1"/>
                <w:bCs w:val="1"/>
                <w:color w:val="auto"/>
                <w:w w:val="83"/>
              </w:rPr>
              <w:t>Aggregate</w:t>
            </w:r>
          </w:p>
        </w:tc>
      </w:tr>
      <w:tr>
        <w:trPr>
          <w:trHeight w:val="149"/>
        </w:trPr>
        <w:tc>
          <w:tcPr>
            <w:tcW w:w="1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c>
          <w:tcPr>
            <w:tcW w:w="240" w:type="dxa"/>
            <w:vAlign w:val="bottom"/>
          </w:tcPr>
          <w:p>
            <w:pPr>
              <w:spacing w:after="0"/>
              <w:rPr>
                <w:sz w:val="12"/>
                <w:szCs w:val="12"/>
                <w:color w:val="auto"/>
              </w:rPr>
            </w:pPr>
          </w:p>
        </w:tc>
        <w:tc>
          <w:tcPr>
            <w:tcW w:w="110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Remaining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91"/>
              </w:rPr>
              <w:t>Intrinsic</w:t>
            </w:r>
          </w:p>
        </w:tc>
      </w:tr>
      <w:tr>
        <w:trPr>
          <w:trHeight w:val="149"/>
        </w:trPr>
        <w:tc>
          <w:tcPr>
            <w:tcW w:w="1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8"/>
              </w:rPr>
              <w:t>Shares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Exercise</w:t>
            </w:r>
          </w:p>
        </w:tc>
        <w:tc>
          <w:tcPr>
            <w:tcW w:w="134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Contractual Term</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90"/>
              </w:rPr>
              <w:t>Value</w:t>
            </w:r>
          </w:p>
        </w:tc>
      </w:tr>
      <w:tr>
        <w:trPr>
          <w:trHeight w:val="181"/>
        </w:trPr>
        <w:tc>
          <w:tcPr>
            <w:tcW w:w="6400" w:type="dxa"/>
            <w:vAlign w:val="bottom"/>
            <w:gridSpan w:val="4"/>
          </w:tcPr>
          <w:p>
            <w:pPr>
              <w:ind w:left="1140"/>
              <w:spacing w:after="0"/>
              <w:rPr>
                <w:sz w:val="20"/>
                <w:szCs w:val="20"/>
                <w:color w:val="auto"/>
              </w:rPr>
            </w:pPr>
            <w:r>
              <w:rPr>
                <w:rFonts w:ascii="Arial" w:cs="Arial" w:eastAsia="Arial" w:hAnsi="Arial"/>
                <w:sz w:val="14"/>
                <w:szCs w:val="14"/>
                <w:b w:val="1"/>
                <w:bCs w:val="1"/>
                <w:color w:val="auto"/>
              </w:rPr>
              <w:t>Stock Options</w:t>
            </w: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(000s)</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right="22"/>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7"/>
              </w:rPr>
              <w:t>(In Years)</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6"/>
              </w:rPr>
              <w:t>($000s)</w:t>
            </w:r>
          </w:p>
        </w:tc>
        <w:tc>
          <w:tcPr>
            <w:tcW w:w="1300" w:type="dxa"/>
            <w:vAlign w:val="bottom"/>
            <w:gridSpan w:val="2"/>
          </w:tcPr>
          <w:p>
            <w:pPr>
              <w:spacing w:after="0"/>
              <w:rPr>
                <w:sz w:val="15"/>
                <w:szCs w:val="15"/>
                <w:color w:val="auto"/>
              </w:rPr>
            </w:pPr>
          </w:p>
        </w:tc>
      </w:tr>
      <w:tr>
        <w:trPr>
          <w:trHeight w:val="190"/>
        </w:trPr>
        <w:tc>
          <w:tcPr>
            <w:tcW w:w="1160" w:type="dxa"/>
            <w:vAlign w:val="bottom"/>
          </w:tcPr>
          <w:p>
            <w:pPr>
              <w:spacing w:after="0"/>
              <w:rPr>
                <w:sz w:val="16"/>
                <w:szCs w:val="16"/>
                <w:color w:val="auto"/>
              </w:rPr>
            </w:pPr>
          </w:p>
        </w:tc>
        <w:tc>
          <w:tcPr>
            <w:tcW w:w="8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8"/>
              </w:rPr>
              <w:t>Outstanding</w:t>
            </w:r>
          </w:p>
        </w:tc>
        <w:tc>
          <w:tcPr>
            <w:tcW w:w="4360" w:type="dxa"/>
            <w:vAlign w:val="bottom"/>
            <w:tcBorders>
              <w:top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at January 2, 2010</w:t>
            </w:r>
          </w:p>
        </w:tc>
        <w:tc>
          <w:tcPr>
            <w:tcW w:w="56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4,046</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33.86</w:t>
            </w: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116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Granted</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Exercised</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Cancelled or expired</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(288)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51.32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
        </w:trPr>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at January 1, 2011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87"/>
              </w:rPr>
              <w:t>4.0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431"/>
        </w:trPr>
        <w:tc>
          <w:tcPr>
            <w:tcW w:w="6400" w:type="dxa"/>
            <w:vAlign w:val="bottom"/>
            <w:gridSpan w:val="4"/>
          </w:tcPr>
          <w:p>
            <w:pPr>
              <w:ind w:left="1140"/>
              <w:spacing w:after="0"/>
              <w:rPr>
                <w:sz w:val="20"/>
                <w:szCs w:val="20"/>
                <w:color w:val="auto"/>
              </w:rPr>
            </w:pPr>
            <w:r>
              <w:rPr>
                <w:rFonts w:ascii="Arial" w:cs="Arial" w:eastAsia="Arial" w:hAnsi="Arial"/>
                <w:sz w:val="18"/>
                <w:szCs w:val="18"/>
                <w:color w:val="auto"/>
              </w:rPr>
              <w:t>Vested at January 1, 2011 and expected to vest</w:t>
            </w:r>
          </w:p>
        </w:tc>
        <w:tc>
          <w:tcPr>
            <w:tcW w:w="560" w:type="dxa"/>
            <w:vAlign w:val="bottom"/>
          </w:tcPr>
          <w:p>
            <w:pPr>
              <w:jc w:val="right"/>
              <w:spacing w:after="0"/>
              <w:rPr>
                <w:sz w:val="20"/>
                <w:szCs w:val="20"/>
                <w:color w:val="auto"/>
              </w:rPr>
            </w:pPr>
            <w:r>
              <w:rPr>
                <w:rFonts w:ascii="Arial" w:cs="Arial" w:eastAsia="Arial" w:hAnsi="Arial"/>
                <w:sz w:val="18"/>
                <w:szCs w:val="18"/>
                <w:color w:val="auto"/>
              </w:rPr>
              <w:t>2,998</w:t>
            </w:r>
          </w:p>
        </w:tc>
        <w:tc>
          <w:tcPr>
            <w:tcW w:w="12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33.26</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ind w:left="580"/>
              <w:spacing w:after="0"/>
              <w:rPr>
                <w:sz w:val="20"/>
                <w:szCs w:val="20"/>
                <w:color w:val="auto"/>
              </w:rPr>
            </w:pPr>
            <w:r>
              <w:rPr>
                <w:rFonts w:ascii="Arial" w:cs="Arial" w:eastAsia="Arial" w:hAnsi="Arial"/>
                <w:sz w:val="18"/>
                <w:szCs w:val="18"/>
                <w:color w:val="auto"/>
                <w:w w:val="87"/>
              </w:rPr>
              <w:t>4.0</w:t>
            </w:r>
          </w:p>
        </w:tc>
        <w:tc>
          <w:tcPr>
            <w:tcW w:w="12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40,060</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3"/>
        </w:trPr>
        <w:tc>
          <w:tcPr>
            <w:tcW w:w="1160" w:type="dxa"/>
            <w:vAlign w:val="bottom"/>
          </w:tcPr>
          <w:p>
            <w:pPr>
              <w:spacing w:after="0"/>
              <w:rPr>
                <w:sz w:val="24"/>
                <w:szCs w:val="24"/>
                <w:color w:val="auto"/>
              </w:rPr>
            </w:pPr>
          </w:p>
        </w:tc>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Exercisable at January 1, 2011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120" w:type="dxa"/>
            <w:vAlign w:val="bottom"/>
            <w:shd w:val="clear" w:color="auto" w:fill="CCEEFF"/>
          </w:tcPr>
          <w:p>
            <w:pPr>
              <w:spacing w:after="0"/>
              <w:rPr>
                <w:sz w:val="24"/>
                <w:szCs w:val="2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87"/>
              </w:rPr>
              <w:t>3.9</w:t>
            </w:r>
          </w:p>
        </w:tc>
        <w:tc>
          <w:tcPr>
            <w:tcW w:w="120" w:type="dxa"/>
            <w:vAlign w:val="bottom"/>
            <w:shd w:val="clear" w:color="auto" w:fill="CCEEFF"/>
          </w:tcPr>
          <w:p>
            <w:pPr>
              <w:spacing w:after="0"/>
              <w:rPr>
                <w:sz w:val="24"/>
                <w:szCs w:val="2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37,381</w:t>
            </w: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r>
      <w:tr>
        <w:trPr>
          <w:trHeight w:val="430"/>
        </w:trPr>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560" w:type="dxa"/>
            <w:vAlign w:val="bottom"/>
          </w:tcPr>
          <w:p>
            <w:pPr>
              <w:ind w:left="1700"/>
              <w:spacing w:after="0"/>
              <w:rPr>
                <w:sz w:val="20"/>
                <w:szCs w:val="20"/>
                <w:color w:val="auto"/>
              </w:rPr>
            </w:pPr>
            <w:r>
              <w:rPr>
                <w:rFonts w:ascii="Arial" w:cs="Arial" w:eastAsia="Arial" w:hAnsi="Arial"/>
                <w:sz w:val="18"/>
                <w:szCs w:val="18"/>
                <w:color w:val="auto"/>
              </w:rPr>
              <w:t>F-31</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January 1, 2011 (Continued)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Weighted-Average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2"/>
                <w:szCs w:val="12"/>
                <w:color w:val="auto"/>
              </w:rPr>
            </w:pPr>
          </w:p>
        </w:tc>
        <w:tc>
          <w:tcPr>
            <w:tcW w:w="6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2"/>
              </w:rPr>
              <w:t>Purchase</w:t>
            </w: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Vesting Term</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61"/>
        </w:trPr>
        <w:tc>
          <w:tcPr>
            <w:tcW w:w="5220" w:type="dxa"/>
            <w:vAlign w:val="bottom"/>
            <w:gridSpan w:val="3"/>
          </w:tcPr>
          <w:p>
            <w:pPr>
              <w:spacing w:after="0"/>
              <w:rPr>
                <w:sz w:val="20"/>
                <w:szCs w:val="20"/>
                <w:color w:val="auto"/>
              </w:rPr>
            </w:pPr>
            <w:r>
              <w:rPr>
                <w:rFonts w:ascii="Arial" w:cs="Arial" w:eastAsia="Arial" w:hAnsi="Arial"/>
                <w:sz w:val="14"/>
                <w:szCs w:val="14"/>
                <w:b w:val="1"/>
                <w:bCs w:val="1"/>
                <w:color w:val="auto"/>
              </w:rPr>
              <w:t>RSAs and RSUs</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(000s)</w:t>
            </w:r>
          </w:p>
        </w:tc>
        <w:tc>
          <w:tcPr>
            <w:tcW w:w="100" w:type="dxa"/>
            <w:vAlign w:val="bottom"/>
          </w:tcPr>
          <w:p>
            <w:pPr>
              <w:spacing w:after="0"/>
              <w:rPr>
                <w:sz w:val="14"/>
                <w:szCs w:val="14"/>
                <w:color w:val="auto"/>
              </w:rPr>
            </w:pPr>
          </w:p>
        </w:tc>
        <w:tc>
          <w:tcPr>
            <w:tcW w:w="640" w:type="dxa"/>
            <w:vAlign w:val="bottom"/>
          </w:tcPr>
          <w:p>
            <w:pPr>
              <w:jc w:val="center"/>
              <w:ind w:right="19"/>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($000s)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2, 2010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560" w:type="dxa"/>
            <w:vAlign w:val="bottom"/>
          </w:tcPr>
          <w:p>
            <w:pPr>
              <w:jc w:val="right"/>
              <w:spacing w:after="0"/>
              <w:rPr>
                <w:sz w:val="20"/>
                <w:szCs w:val="20"/>
                <w:color w:val="auto"/>
              </w:rPr>
            </w:pPr>
            <w:r>
              <w:rPr>
                <w:rFonts w:ascii="Arial" w:cs="Arial" w:eastAsia="Arial" w:hAnsi="Arial"/>
                <w:sz w:val="18"/>
                <w:szCs w:val="18"/>
                <w:color w:val="auto"/>
              </w:rPr>
              <w:t>823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Issued</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Cancelled or expired</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1, 2011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220" w:type="dxa"/>
            <w:vAlign w:val="bottom"/>
            <w:gridSpan w:val="3"/>
          </w:tcPr>
          <w:p>
            <w:pPr>
              <w:spacing w:after="0"/>
              <w:rPr>
                <w:sz w:val="20"/>
                <w:szCs w:val="20"/>
                <w:color w:val="auto"/>
              </w:rPr>
            </w:pPr>
            <w:r>
              <w:rPr>
                <w:rFonts w:ascii="Arial" w:cs="Arial" w:eastAsia="Arial" w:hAnsi="Arial"/>
                <w:sz w:val="18"/>
                <w:szCs w:val="18"/>
                <w:color w:val="auto"/>
              </w:rPr>
              <w:t>Outstanding at January 1, 2011 and expected to vest</w:t>
            </w:r>
          </w:p>
        </w:tc>
        <w:tc>
          <w:tcPr>
            <w:tcW w:w="560" w:type="dxa"/>
            <w:vAlign w:val="bottom"/>
          </w:tcPr>
          <w:p>
            <w:pPr>
              <w:jc w:val="right"/>
              <w:spacing w:after="0"/>
              <w:rPr>
                <w:sz w:val="20"/>
                <w:szCs w:val="20"/>
                <w:color w:val="auto"/>
              </w:rPr>
            </w:pPr>
            <w:r>
              <w:rPr>
                <w:rFonts w:ascii="Arial" w:cs="Arial" w:eastAsia="Arial" w:hAnsi="Arial"/>
                <w:sz w:val="18"/>
                <w:szCs w:val="18"/>
                <w:color w:val="auto"/>
              </w:rPr>
              <w:t>2,076</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95,517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summarizes the Company's weighted average fair value at the date of grant:</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4040" w:type="dxa"/>
            <w:vAlign w:val="bottom"/>
          </w:tcPr>
          <w:p>
            <w:pPr>
              <w:spacing w:after="0"/>
              <w:rPr>
                <w:sz w:val="11"/>
                <w:szCs w:val="11"/>
                <w:color w:val="auto"/>
              </w:rPr>
            </w:pPr>
          </w:p>
        </w:tc>
        <w:tc>
          <w:tcPr>
            <w:tcW w:w="94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January 1,</w:t>
            </w:r>
          </w:p>
        </w:tc>
        <w:tc>
          <w:tcPr>
            <w:tcW w:w="7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January 2,</w:t>
            </w:r>
          </w:p>
        </w:tc>
        <w:tc>
          <w:tcPr>
            <w:tcW w:w="16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8"/>
              </w:rPr>
              <w:t>January 3,</w:t>
            </w:r>
          </w:p>
        </w:tc>
        <w:tc>
          <w:tcPr>
            <w:tcW w:w="160" w:type="dxa"/>
            <w:vAlign w:val="bottom"/>
          </w:tcPr>
          <w:p>
            <w:pPr>
              <w:spacing w:after="0"/>
              <w:rPr>
                <w:sz w:val="11"/>
                <w:szCs w:val="11"/>
                <w:color w:val="auto"/>
              </w:rPr>
            </w:pPr>
          </w:p>
        </w:tc>
      </w:tr>
      <w:tr>
        <w:trPr>
          <w:trHeight w:val="161"/>
        </w:trPr>
        <w:tc>
          <w:tcPr>
            <w:tcW w:w="4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Per grant of stock options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12.92</w:t>
            </w: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Per grant of RSAs or RSUs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44.88</w:t>
            </w: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27.45</w:t>
            </w:r>
          </w:p>
        </w:tc>
        <w:tc>
          <w:tcPr>
            <w:tcW w:w="3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31.77</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summarizes the Company's stock-based payment and stock option values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4040" w:type="dxa"/>
            <w:vAlign w:val="bottom"/>
          </w:tcPr>
          <w:p>
            <w:pPr>
              <w:spacing w:after="0"/>
              <w:rPr>
                <w:sz w:val="11"/>
                <w:szCs w:val="11"/>
                <w:color w:val="auto"/>
              </w:rPr>
            </w:pPr>
          </w:p>
        </w:tc>
        <w:tc>
          <w:tcPr>
            <w:tcW w:w="94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January 1,</w:t>
            </w:r>
          </w:p>
        </w:tc>
        <w:tc>
          <w:tcPr>
            <w:tcW w:w="7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January 2,</w:t>
            </w:r>
          </w:p>
        </w:tc>
        <w:tc>
          <w:tcPr>
            <w:tcW w:w="16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8"/>
              </w:rPr>
              <w:t>January 3,</w:t>
            </w:r>
          </w:p>
        </w:tc>
        <w:tc>
          <w:tcPr>
            <w:tcW w:w="160" w:type="dxa"/>
            <w:vAlign w:val="bottom"/>
          </w:tcPr>
          <w:p>
            <w:pPr>
              <w:spacing w:after="0"/>
              <w:rPr>
                <w:sz w:val="11"/>
                <w:szCs w:val="11"/>
                <w:color w:val="auto"/>
              </w:rPr>
            </w:pPr>
          </w:p>
        </w:tc>
      </w:tr>
      <w:tr>
        <w:trPr>
          <w:trHeight w:val="161"/>
        </w:trPr>
        <w:tc>
          <w:tcPr>
            <w:tcW w:w="4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Intrinsic value of stock options exercised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14,087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14,549</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5,454</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Intrinsic value of RSAs and RSUs that vested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32,109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23,983</w:t>
            </w:r>
          </w:p>
        </w:tc>
        <w:tc>
          <w:tcPr>
            <w:tcW w:w="3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19,469</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w w:val="97"/>
              </w:rPr>
              <w:t>Grant date fair value of RSAs and RSUs that vested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25,398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22,764</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22,420</w:t>
            </w:r>
          </w:p>
        </w:tc>
      </w:tr>
    </w:tbl>
    <w:p>
      <w:pPr>
        <w:spacing w:after="0" w:line="208"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Company had approximately $44.8 million of total unrecognized compensation costs related to stock options and RSUs at January 1, 2011 that are expected to be recognized over a weighted-average period of 1.4 years. There were no significant stock compensation costs capitalized into assets in any of the periods presented.</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received cash of $18.1 million for the issuance of common stock, net of shares withheld for taxes during fiscal 2010. The Company issues shares from the shares reserved under its stock plans upon the exercise of stock options, issuance of RSAs, and vesting of RSUs. The Company does not currently expect to repurchase shares from any source to satisfy such obligation.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January 1, 2011 (Continued)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details of stock-based compensation costs recognized in the Consolidated Statements of Income (in thousands):</w:t>
      </w:r>
    </w:p>
    <w:p>
      <w:pPr>
        <w:spacing w:after="0" w:line="29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4040" w:type="dxa"/>
            <w:vAlign w:val="bottom"/>
          </w:tcPr>
          <w:p>
            <w:pPr>
              <w:spacing w:after="0"/>
              <w:rPr>
                <w:sz w:val="11"/>
                <w:szCs w:val="11"/>
                <w:color w:val="auto"/>
              </w:rPr>
            </w:pPr>
          </w:p>
        </w:tc>
        <w:tc>
          <w:tcPr>
            <w:tcW w:w="940" w:type="dxa"/>
            <w:vAlign w:val="bottom"/>
            <w:gridSpan w:val="4"/>
          </w:tcPr>
          <w:p>
            <w:pPr>
              <w:ind w:left="80"/>
              <w:spacing w:after="0" w:line="129" w:lineRule="exact"/>
              <w:rPr>
                <w:sz w:val="20"/>
                <w:szCs w:val="20"/>
                <w:color w:val="auto"/>
              </w:rPr>
            </w:pPr>
            <w:r>
              <w:rPr>
                <w:rFonts w:ascii="Arial" w:cs="Arial" w:eastAsia="Arial" w:hAnsi="Arial"/>
                <w:sz w:val="14"/>
                <w:szCs w:val="14"/>
                <w:b w:val="1"/>
                <w:bCs w:val="1"/>
                <w:color w:val="auto"/>
              </w:rPr>
              <w:t>January 1,</w:t>
            </w:r>
          </w:p>
        </w:tc>
        <w:tc>
          <w:tcPr>
            <w:tcW w:w="7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January 2,</w:t>
            </w:r>
          </w:p>
        </w:tc>
        <w:tc>
          <w:tcPr>
            <w:tcW w:w="16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8"/>
              </w:rPr>
              <w:t>January 3,</w:t>
            </w:r>
          </w:p>
        </w:tc>
        <w:tc>
          <w:tcPr>
            <w:tcW w:w="160" w:type="dxa"/>
            <w:vAlign w:val="bottom"/>
          </w:tcPr>
          <w:p>
            <w:pPr>
              <w:spacing w:after="0"/>
              <w:rPr>
                <w:sz w:val="11"/>
                <w:szCs w:val="11"/>
                <w:color w:val="auto"/>
              </w:rPr>
            </w:pPr>
          </w:p>
        </w:tc>
      </w:tr>
      <w:tr>
        <w:trPr>
          <w:trHeight w:val="161"/>
        </w:trPr>
        <w:tc>
          <w:tcPr>
            <w:tcW w:w="4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1,437</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17,017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13,866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14,906</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21,872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24,326</w:t>
            </w:r>
          </w:p>
        </w:tc>
      </w:tr>
      <w:tr>
        <w:trPr>
          <w:trHeight w:val="27"/>
        </w:trPr>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r>
      <w:tr>
        <w:trPr>
          <w:trHeight w:val="210"/>
        </w:trPr>
        <w:tc>
          <w:tcPr>
            <w:tcW w:w="40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40,324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43,974</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40,669</w:t>
            </w:r>
          </w:p>
        </w:tc>
        <w:tc>
          <w:tcPr>
            <w:tcW w:w="16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5,647</w:t>
            </w:r>
          </w:p>
        </w:tc>
      </w:tr>
      <w:tr>
        <w:trPr>
          <w:trHeight w:val="27"/>
        </w:trPr>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r>
      <w:tr>
        <w:trPr>
          <w:trHeight w:val="216"/>
        </w:trPr>
        <w:tc>
          <w:tcPr>
            <w:tcW w:w="40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34,862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37,753</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35,022</w:t>
            </w:r>
          </w:p>
        </w:tc>
        <w:tc>
          <w:tcPr>
            <w:tcW w:w="160" w:type="dxa"/>
            <w:vAlign w:val="bottom"/>
          </w:tcPr>
          <w:p>
            <w:pPr>
              <w:spacing w:after="0"/>
              <w:rPr>
                <w:sz w:val="18"/>
                <w:szCs w:val="18"/>
                <w:color w:val="auto"/>
              </w:rPr>
            </w:pPr>
          </w:p>
        </w:tc>
      </w:tr>
      <w:tr>
        <w:trPr>
          <w:trHeight w:val="21"/>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January 1, 2011, the Company had reserved shares of common stock for future issuance as follows (in thousands):</w:t>
      </w:r>
    </w:p>
    <w:p>
      <w:pPr>
        <w:spacing w:after="0" w:line="23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2000</w:t>
            </w:r>
          </w:p>
        </w:tc>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Incentive Plan</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4,386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4"/>
              </w:rPr>
              <w:t>2009</w:t>
            </w:r>
          </w:p>
        </w:tc>
        <w:tc>
          <w:tcPr>
            <w:tcW w:w="5700" w:type="dxa"/>
            <w:vAlign w:val="bottom"/>
          </w:tcPr>
          <w:p>
            <w:pPr>
              <w:ind w:left="20"/>
              <w:spacing w:after="0"/>
              <w:rPr>
                <w:sz w:val="20"/>
                <w:szCs w:val="20"/>
                <w:color w:val="auto"/>
              </w:rPr>
            </w:pPr>
            <w:r>
              <w:rPr>
                <w:rFonts w:ascii="Arial" w:cs="Arial" w:eastAsia="Arial" w:hAnsi="Arial"/>
                <w:sz w:val="18"/>
                <w:szCs w:val="18"/>
                <w:color w:val="auto"/>
              </w:rPr>
              <w:t>Stock Incentive Plan</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6,512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2009</w:t>
            </w:r>
          </w:p>
        </w:tc>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Total shares reserved</w:t>
            </w: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060" w:type="dxa"/>
            <w:vAlign w:val="bottom"/>
            <w:gridSpan w:val="2"/>
            <w:vMerge w:val="continue"/>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Benefit Plan</w:t>
      </w:r>
    </w:p>
    <w:p>
      <w:pPr>
        <w:spacing w:after="0" w:line="231" w:lineRule="exact"/>
        <w:rPr>
          <w:sz w:val="20"/>
          <w:szCs w:val="20"/>
          <w:color w:val="auto"/>
        </w:rPr>
      </w:pPr>
    </w:p>
    <w:p>
      <w:pPr>
        <w:ind w:right="280" w:firstLine="348"/>
        <w:spacing w:after="0" w:line="256" w:lineRule="auto"/>
        <w:rPr>
          <w:sz w:val="20"/>
          <w:szCs w:val="20"/>
          <w:color w:val="auto"/>
        </w:rPr>
      </w:pPr>
      <w:r>
        <w:rPr>
          <w:rFonts w:ascii="Arial" w:cs="Arial" w:eastAsia="Arial" w:hAnsi="Arial"/>
          <w:sz w:val="18"/>
          <w:szCs w:val="18"/>
          <w:color w:val="auto"/>
        </w:rPr>
        <w:t>The Company maintains a defined contribution or 401(k) Plan for its qualified U.S. employees. Participants may contribute a percentage of their compensation on a pre-tax basis, subject to a maximum annual contribution imposed by the Internal Revenue Code. The Company may make discretionary matching contributions as well as discretionary profit-sharing contributions to the 401(k) Plan. The Company contributed $2.6 million, $2.2 million and $2.2 million to the 401(k) Plan during fiscal 2010, 2009 and 2008,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 leases its facilities under operating lease agreements that expire at various dates through 2019. Some of these arrangements contain renewal options and require the Company to pay taxes, insurance and maintenance costs.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Rent expense under operating leases was $5.0 million, $5.1 million and $3.8 million for fiscal 2010, 2009 and 2008, respectively.</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January 1, 2011 (Continued)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minimum annual future rentals under the terms of these leases as of January 1, 2011 are as follows (in thousands):</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980" w:type="dxa"/>
            <w:vAlign w:val="bottom"/>
            <w:gridSpan w:val="3"/>
          </w:tcPr>
          <w:p>
            <w:pPr>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2011</w:t>
            </w:r>
          </w:p>
        </w:tc>
        <w:tc>
          <w:tcPr>
            <w:tcW w:w="5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7,676</w:t>
            </w: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2012</w:t>
            </w:r>
          </w:p>
        </w:tc>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7,542</w:t>
            </w: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5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3,423</w:t>
            </w: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2014</w:t>
            </w:r>
          </w:p>
        </w:tc>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1,522</w:t>
            </w: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1,475</w:t>
            </w:r>
          </w:p>
        </w:tc>
      </w:tr>
      <w:tr>
        <w:trPr>
          <w:trHeight w:val="222"/>
        </w:trPr>
        <w:tc>
          <w:tcPr>
            <w:tcW w:w="2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4,485</w:t>
            </w:r>
          </w:p>
        </w:tc>
      </w:tr>
      <w:tr>
        <w:trPr>
          <w:trHeight w:val="21"/>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26,123</w:t>
            </w:r>
          </w:p>
        </w:tc>
      </w:tr>
      <w:tr>
        <w:trPr>
          <w:trHeight w:val="222"/>
        </w:trPr>
        <w:tc>
          <w:tcPr>
            <w:tcW w:w="2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Minimum sublease rental income</w:t>
            </w:r>
          </w:p>
        </w:tc>
        <w:tc>
          <w:tcPr>
            <w:tcW w:w="1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(6,259)</w:t>
            </w:r>
          </w:p>
        </w:tc>
      </w:tr>
      <w:tr>
        <w:trPr>
          <w:trHeight w:val="21"/>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minimum lease payments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19,864</w:t>
            </w: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Headquarters Leases</w:t>
      </w:r>
    </w:p>
    <w:p>
      <w:pPr>
        <w:spacing w:after="0" w:line="225"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In March 2006, the Company entered into an operating lease agreement and a related participation agreement for a facility at 400 W. Cesar Chavez ("400 WCC") in Austin, Texas for its corporate headquarters. The lease has a term of seven years. The base rent for the term of the lease is an amount equal to the interest accruing on $44.3 million at 110 basis points over the three-month LIBOR (which would be approximately $1.4 million over the remaining term assuming LIBOR averages 0.30% during such term).</w:t>
      </w:r>
    </w:p>
    <w:p>
      <w:pPr>
        <w:spacing w:after="0" w:line="197" w:lineRule="exact"/>
        <w:rPr>
          <w:sz w:val="20"/>
          <w:szCs w:val="20"/>
          <w:color w:val="auto"/>
        </w:rPr>
      </w:pPr>
    </w:p>
    <w:p>
      <w:pPr>
        <w:jc w:val="both"/>
        <w:ind w:right="160" w:firstLine="351"/>
        <w:spacing w:after="0" w:line="256" w:lineRule="auto"/>
        <w:rPr>
          <w:sz w:val="20"/>
          <w:szCs w:val="20"/>
          <w:color w:val="auto"/>
        </w:rPr>
      </w:pPr>
      <w:r>
        <w:rPr>
          <w:rFonts w:ascii="Arial" w:cs="Arial" w:eastAsia="Arial" w:hAnsi="Arial"/>
          <w:sz w:val="18"/>
          <w:szCs w:val="18"/>
          <w:color w:val="auto"/>
        </w:rPr>
        <w:t>In March 2008, the Company entered into an operating lease agreement and a related participation agreement for a facility at 200 W. Cesar Chavez ("200 WCC") in Austin, Texas for the expansion of its corporate headquarters. The lease has a term of five years. The base rent for the term of the lease is an amount equal to the interest accruing on $50.1 million at 155 basis points over the three-month LIBOR (which would be approximately $2.1 million over the remaining term assuming LIBOR averages 0.30% during such term).</w:t>
      </w:r>
    </w:p>
    <w:p>
      <w:pPr>
        <w:spacing w:after="0" w:line="197"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Company has granted certain rights and remedies to the lessors in the event of certain defaults, including the right to terminate the leases, to bring suit to collect damages, and to compel the Company to purchase the facilities. The leases contain other customary representations, warranties, obligations, conditions, indemnification provisions and termination provisions, including covenants that the Company shall maintain unencumbered cash and highly-rated short-term investments of at least $75 million. If the Company's unencumbered cash and highly-rated short-term investments are less than $150 million, it must also maintain a ratio of funded debt to earnings before interest expense, income taxes, depreciation, amortization, lease expense and other non-cash charges (EBITDAR) over the four prior fiscal quarters of no greater than 2 to 1. As of January 1, 2011, the Company believes it was in compliance with all covenants of the leases.</w:t>
      </w:r>
    </w:p>
    <w:p>
      <w:pPr>
        <w:spacing w:after="0" w:line="20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During the terms of the leases, the Company has on-going options to purchase the buildings for purchase prices of approximately $44.3 million for 400 WCC and $50.1 million for 200 WCC. Alternatively, the Company can cause each such property to be sold to third parties provided it is not in default under that property's lease. The Company is contingently liable on a first dollar loss basis for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January 1, 2011 (Continued)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up to $35.3 million to the extent that the 400 WCC sale proceeds are less than the $44.3 million purchase option and up to $40.0 million to the extent that the 200 WCC sale proceeds are less than the $50.1 million purchase option.</w:t>
      </w:r>
    </w:p>
    <w:p>
      <w:pPr>
        <w:spacing w:after="0" w:line="186"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Company determined that the fair value associated with the guaranteed residual values was $1.0 million for 400 WCC and $1.2 million for 200 WCC, as of the inception of the leases. These amounts were recorded in "Other assets, net" and "Long-term obligations and other liabilities" in the Consolidated Balance Sheets and are being amortized over the term of the leases.</w:t>
      </w:r>
    </w:p>
    <w:p>
      <w:pPr>
        <w:spacing w:after="0" w:line="194"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The Company is required to periodically evaluate the expected fair value of each facility at the end of the lease terms. If the Company determines that it is estimable and probable that the expected fair values will be less than $44.3 million for 400 WCC and $50.1 million for 200 WCC, it will ratably accrue the loss up to a maximum of approximately $35.3 million and $40.0 million, respectively, over the remaining lease terms as additional rent expense. As of January 1, 2011, the Company does not believe that a loss contingency accrual is required for either property. However, a prolonged economic downturn could increase the likelihood of such a loss accrual.</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Interest Rate Swap Agreements</w:t>
      </w:r>
    </w:p>
    <w:p>
      <w:pPr>
        <w:spacing w:after="0" w:line="225" w:lineRule="exact"/>
        <w:rPr>
          <w:sz w:val="20"/>
          <w:szCs w:val="20"/>
          <w:color w:val="auto"/>
        </w:rPr>
      </w:pPr>
    </w:p>
    <w:p>
      <w:pPr>
        <w:jc w:val="both"/>
        <w:ind w:right="280" w:firstLine="351"/>
        <w:spacing w:after="0" w:line="306" w:lineRule="auto"/>
        <w:rPr>
          <w:sz w:val="20"/>
          <w:szCs w:val="20"/>
          <w:color w:val="auto"/>
        </w:rPr>
      </w:pPr>
      <w:r>
        <w:rPr>
          <w:rFonts w:ascii="Arial" w:cs="Arial" w:eastAsia="Arial" w:hAnsi="Arial"/>
          <w:sz w:val="16"/>
          <w:szCs w:val="16"/>
          <w:color w:val="auto"/>
        </w:rPr>
        <w:t xml:space="preserve">In connection with its headquarters leases, during fiscal 2008 the Company entered into interest rate swap agreements as a hedge against the variable rent under the leases. Under the terms of the swap agreements, the Company has effectively converted the variable rents to fixed rents through March 2011 for 400 WCC and March 2013 for 200 WCC. See Note 5, </w:t>
      </w: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 for additional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Securities Litigation</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 December 6, 2001, a class action complaint for violations of U.S. federal securities laws was filed in the United States District Court for the Southern District of New York against the Company, four officers individually and the three investment banking firms who served as representatives of the underwriters in connection with the Company's initial public offering of common stock. The Consolidated Amended Complaint alleges that the registration statement and prospectus for the Company's initial public offering did not disclose that (1) the underwriters solicited and received additional, excessive and undisclosed commissions from certain investors, and (2) the underwriters had agreed to allocate shares of the offering in exchange for a commitment from the customers to purchase additional shares in the aftermarket at pre-determined higher prices. The Complaint alleges violations of the Securities Act of 1933 and the Securities Exchange Act of 1934. The action seeks damages in an unspecified amount and is being coordinated with approximately 300 other nearly identical actions filed against other companies. A court order dated October 9, 2002 dismissed without prejudice the four officers of the Company who had been named individually. On December 5, 2006, the Second Circuit vacated a decision by the District Court granting class certification in six of the coordinated cases, which are intended to serve as test, or "focus" cases. The plaintiffs selected these six cases, which do not include the Company. On April 6, 2007, the Second Circuit denied a petition for rehearing filed by the plaintiffs, but noted that the plaintiffs could ask the District Court to certify more narrow classes than those that were rejected.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January 1, 2011 (Continued)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 (Continued)</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parties in the approximately 300 coordinated cases, including the parties in the case against the Company, reached a settlement. The insurers for the issuer defendants in the coordinated cases will make the settlement payment on behalf of the issuers, including the Company. On October 5, 2009, the Court granted final approval of the settlement. Judgment was entered on January 10, 2010. Six notices of appeal and one petition seeking permission to appeal were filed before the United States Court of Appeals for the Second Circuit. Two appeals are proceeding on behalf of objectors to the settlement. Plaintiffs have moved to dismiss both appeals. The motions are fully briefed. The remaining objectors withdrew their appeals with prejudice.</w:t>
      </w:r>
    </w:p>
    <w:p>
      <w:pPr>
        <w:spacing w:after="0" w:line="170" w:lineRule="exact"/>
        <w:rPr>
          <w:sz w:val="20"/>
          <w:szCs w:val="20"/>
          <w:color w:val="auto"/>
        </w:rPr>
      </w:pPr>
    </w:p>
    <w:p>
      <w:pPr>
        <w:ind w:right="140" w:firstLine="341"/>
        <w:spacing w:after="0" w:line="306" w:lineRule="auto"/>
        <w:rPr>
          <w:sz w:val="20"/>
          <w:szCs w:val="20"/>
          <w:color w:val="auto"/>
        </w:rPr>
      </w:pPr>
      <w:r>
        <w:rPr>
          <w:rFonts w:ascii="Arial" w:cs="Arial" w:eastAsia="Arial" w:hAnsi="Arial"/>
          <w:sz w:val="16"/>
          <w:szCs w:val="16"/>
          <w:color w:val="auto"/>
        </w:rPr>
        <w:t>As the litigation process is inherently uncertain, the Company is unable to predict the outcome of the above described matter if the settlement does not survive appeal. While the Company does maintain liability insurance, it could incur losses that are not covered by its liability insurance or that exceed the limits of its liability insurance. Such losses could have a material impact on the Company's business and its results of operations or financial position.</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 Company is involved in various other legal proceedings that have arisen in the normal course of business. While the ultimate results of these matters cannot be predicted with certainty, the Company does not expect them to have a material adverse effect on its consolidated financial position or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Indemnification</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fiscal 2007, the Company sold its Aero transceiver, AeroFONE™ single-chip phone and power amplifier product lines (the "Aero product lines") to NXP B.V. and NXP Semiconductors France SAS (collectively "NXP"). In connection with the sale of the Aero product lines, the Company agreed to indemnify NXP with respect to liabilities for certain tax matters. There is no contractual limit on exposure with respect to such matters. As of January 1, 2011, the Company had no material liabilities recorded with respect to this indemnification obligation.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1, 2011 (Continued)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Significant components of the provision (benefit) for income taxes are as follows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40" w:type="dxa"/>
            <w:vAlign w:val="bottom"/>
          </w:tcPr>
          <w:p>
            <w:pPr>
              <w:spacing w:after="0"/>
              <w:rPr>
                <w:sz w:val="11"/>
                <w:szCs w:val="11"/>
                <w:color w:val="auto"/>
              </w:rPr>
            </w:pPr>
          </w:p>
        </w:tc>
        <w:tc>
          <w:tcPr>
            <w:tcW w:w="94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8"/>
              </w:rPr>
              <w:t>January 1,</w:t>
            </w:r>
          </w:p>
        </w:tc>
        <w:tc>
          <w:tcPr>
            <w:tcW w:w="92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6"/>
              </w:rPr>
              <w:t>January 2,</w:t>
            </w: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8"/>
              </w:rPr>
              <w:t>January 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20"/>
              <w:spacing w:after="0"/>
              <w:rPr>
                <w:sz w:val="20"/>
                <w:szCs w:val="20"/>
                <w:color w:val="auto"/>
              </w:rPr>
            </w:pPr>
            <w:r>
              <w:rPr>
                <w:rFonts w:ascii="Arial" w:cs="Arial" w:eastAsia="Arial" w:hAnsi="Arial"/>
                <w:sz w:val="18"/>
                <w:szCs w:val="18"/>
                <w:color w:val="auto"/>
              </w:rPr>
              <w:t>Domestic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10,824</w:t>
            </w: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(11,560)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14,557</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International</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4,145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7"/>
        </w:trPr>
        <w:tc>
          <w:tcPr>
            <w:tcW w:w="4040" w:type="dxa"/>
            <w:vAlign w:val="bottom"/>
            <w:vMerge w:val="restart"/>
          </w:tcPr>
          <w:p>
            <w:pPr>
              <w:ind w:left="120"/>
              <w:spacing w:after="0"/>
              <w:rPr>
                <w:sz w:val="20"/>
                <w:szCs w:val="20"/>
                <w:color w:val="auto"/>
              </w:rPr>
            </w:pPr>
            <w:r>
              <w:rPr>
                <w:rFonts w:ascii="Arial" w:cs="Arial" w:eastAsia="Arial" w:hAnsi="Arial"/>
                <w:sz w:val="18"/>
                <w:szCs w:val="18"/>
                <w:color w:val="auto"/>
              </w:rPr>
              <w:t>Total Current</w:t>
            </w: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04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14,969</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(6,022)</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20"/>
              <w:spacing w:after="0"/>
              <w:rPr>
                <w:sz w:val="20"/>
                <w:szCs w:val="20"/>
                <w:color w:val="auto"/>
              </w:rPr>
            </w:pPr>
            <w:r>
              <w:rPr>
                <w:rFonts w:ascii="Arial" w:cs="Arial" w:eastAsia="Arial" w:hAnsi="Arial"/>
                <w:sz w:val="18"/>
                <w:szCs w:val="18"/>
                <w:color w:val="auto"/>
              </w:rPr>
              <w:t>Domestic</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2,234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International</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7"/>
        </w:trPr>
        <w:tc>
          <w:tcPr>
            <w:tcW w:w="4040" w:type="dxa"/>
            <w:vAlign w:val="bottom"/>
            <w:vMerge w:val="restart"/>
          </w:tcPr>
          <w:p>
            <w:pPr>
              <w:ind w:left="120"/>
              <w:spacing w:after="0"/>
              <w:rPr>
                <w:sz w:val="20"/>
                <w:szCs w:val="20"/>
                <w:color w:val="auto"/>
              </w:rPr>
            </w:pPr>
            <w:r>
              <w:rPr>
                <w:rFonts w:ascii="Arial" w:cs="Arial" w:eastAsia="Arial" w:hAnsi="Arial"/>
                <w:sz w:val="18"/>
                <w:szCs w:val="18"/>
                <w:color w:val="auto"/>
              </w:rPr>
              <w:t>Total Deferred</w:t>
            </w: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4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1,896</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14,417</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20,181</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Company's provision (benefit) for income taxes differs from the expected tax expense amount computed by applying the statutory federal income tax rate to income before income taxes as a result of the following:</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Year Ended</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3940" w:type="dxa"/>
            <w:vAlign w:val="bottom"/>
          </w:tcPr>
          <w:p>
            <w:pPr>
              <w:spacing w:after="0"/>
              <w:rPr>
                <w:sz w:val="11"/>
                <w:szCs w:val="11"/>
                <w:color w:val="auto"/>
              </w:rPr>
            </w:pPr>
          </w:p>
        </w:tc>
        <w:tc>
          <w:tcPr>
            <w:tcW w:w="94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8"/>
              </w:rPr>
              <w:t>January 1,</w:t>
            </w:r>
          </w:p>
        </w:tc>
        <w:tc>
          <w:tcPr>
            <w:tcW w:w="102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January 2,</w:t>
            </w:r>
          </w:p>
        </w:tc>
        <w:tc>
          <w:tcPr>
            <w:tcW w:w="7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8"/>
              </w:rPr>
              <w:t>January 3,</w:t>
            </w:r>
          </w:p>
        </w:tc>
        <w:tc>
          <w:tcPr>
            <w:tcW w:w="160" w:type="dxa"/>
            <w:vAlign w:val="bottom"/>
          </w:tcPr>
          <w:p>
            <w:pPr>
              <w:spacing w:after="0"/>
              <w:rPr>
                <w:sz w:val="11"/>
                <w:szCs w:val="11"/>
                <w:color w:val="auto"/>
              </w:rPr>
            </w:pPr>
          </w:p>
        </w:tc>
      </w:tr>
      <w:tr>
        <w:trPr>
          <w:trHeight w:val="161"/>
        </w:trPr>
        <w:tc>
          <w:tcPr>
            <w:tcW w:w="3940" w:type="dxa"/>
            <w:vAlign w:val="bottom"/>
          </w:tcPr>
          <w:p>
            <w:pPr>
              <w:spacing w:after="0"/>
              <w:rPr>
                <w:sz w:val="14"/>
                <w:szCs w:val="14"/>
                <w:color w:val="auto"/>
              </w:rPr>
            </w:pPr>
          </w:p>
        </w:tc>
        <w:tc>
          <w:tcPr>
            <w:tcW w:w="7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7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Foreign tax rate benefit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(16.7)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Release of prior year unrecognized tax benefits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Intercompany technology license</w:t>
            </w: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22.1</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Excess officer compensation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Tax-exempt interest income</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Other</w:t>
            </w: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0.7</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r>
      <w:tr>
        <w:trPr>
          <w:trHeight w:val="21"/>
        </w:trPr>
        <w:tc>
          <w:tcPr>
            <w:tcW w:w="39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9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w:t>
            </w:r>
          </w:p>
        </w:tc>
      </w:tr>
      <w:tr>
        <w:trPr>
          <w:trHeight w:val="27"/>
        </w:trPr>
        <w:tc>
          <w:tcPr>
            <w:tcW w:w="39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9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effective tax rate for fiscal 2010 increased from fiscal 2009, primarily due to the resolution of uncertain tax positions as a result of entering into an Advance Pricing Agreement with the U.S. Internal Revenue Service during the fourth quarter of fiscal 2009. In addition, the effective tax rate for fiscal 2010 increased from the prior period due to the intercompany license of certain technology obtained in the acquisition of Silicon Clocks during the second quarter of fiscal 2010. The increase in the effective tax rate was partially offset by an increase in the federal research and development credit in fiscal 2010. The effective tax rate for fiscal 2009 decreased from fiscal 2008, primarily due to the resolution of uncertain tax positions as a result of entering into a unilateral Advance Pricing Agreement with the U.S. Internal Revenue Service during the fourth quarter of fiscal 2009. In addition,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January 1, 2011 (Continued)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effective tax rate for fiscal 2009 decreased from fiscal 2008 due to the intercompany license of certain technology and the non-deductible write-off of in-process research and development costs during fiscal 2008, both of which were related to the acquisition of Integration Associates during fiscal 2008.</w:t>
      </w:r>
    </w:p>
    <w:p>
      <w:pPr>
        <w:spacing w:after="0" w:line="13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Income before income taxes included approximately $40.1 million, $39.5 million and $22.6 million related to foreign operations in fiscal 2010, 2009 and 2008, respectively.</w:t>
      </w:r>
    </w:p>
    <w:p>
      <w:pPr>
        <w:spacing w:after="0" w:line="186" w:lineRule="exact"/>
        <w:rPr>
          <w:sz w:val="20"/>
          <w:szCs w:val="20"/>
          <w:color w:val="auto"/>
        </w:rPr>
      </w:pPr>
    </w:p>
    <w:p>
      <w:pPr>
        <w:ind w:right="340" w:firstLine="341"/>
        <w:spacing w:after="0" w:line="259" w:lineRule="auto"/>
        <w:rPr>
          <w:sz w:val="20"/>
          <w:szCs w:val="20"/>
          <w:color w:val="auto"/>
        </w:rPr>
      </w:pPr>
      <w:r>
        <w:rPr>
          <w:rFonts w:ascii="Arial" w:cs="Arial" w:eastAsia="Arial" w:hAnsi="Arial"/>
          <w:sz w:val="18"/>
          <w:szCs w:val="18"/>
          <w:color w:val="auto"/>
        </w:rPr>
        <w:t>At the end of fiscal 2010, undistributed earnings of the Company's foreign subsidiaries of approximately $261.9 million are considered permanently reinvested. Accordingly, no provision for U.S. federal and state income taxes has been made. Determination of the amount of the unrecognized deferred tax liability on these unremitted earnings is not practicable.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Significant components of the Company's deferred taxes as of January 1, 2011 and January 2, 2010 are as follows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January 1,</w:t>
            </w:r>
          </w:p>
        </w:tc>
        <w:tc>
          <w:tcPr>
            <w:tcW w:w="16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January 2,</w:t>
            </w:r>
          </w:p>
        </w:tc>
      </w:tr>
      <w:tr>
        <w:trPr>
          <w:trHeight w:val="161"/>
        </w:trPr>
        <w:tc>
          <w:tcPr>
            <w:tcW w:w="4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80" w:type="dxa"/>
            <w:vAlign w:val="bottom"/>
          </w:tcPr>
          <w:p>
            <w:pPr>
              <w:ind w:left="120"/>
              <w:spacing w:after="0"/>
              <w:rPr>
                <w:sz w:val="20"/>
                <w:szCs w:val="20"/>
                <w:color w:val="auto"/>
              </w:rPr>
            </w:pPr>
            <w:r>
              <w:rPr>
                <w:rFonts w:ascii="Arial" w:cs="Arial" w:eastAsia="Arial" w:hAnsi="Arial"/>
                <w:sz w:val="18"/>
                <w:szCs w:val="18"/>
                <w:color w:val="auto"/>
              </w:rPr>
              <w:t>Net operating loss carryforwards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10,927</w:t>
            </w:r>
          </w:p>
        </w:tc>
        <w:tc>
          <w:tcPr>
            <w:tcW w:w="3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2,246</w:t>
            </w:r>
          </w:p>
        </w:tc>
      </w:tr>
      <w:tr>
        <w:trPr>
          <w:trHeight w:val="216"/>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 tax credit carryforwards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3,926</w:t>
            </w:r>
          </w:p>
        </w:tc>
      </w:tr>
      <w:tr>
        <w:trPr>
          <w:trHeight w:val="216"/>
        </w:trPr>
        <w:tc>
          <w:tcPr>
            <w:tcW w:w="4980" w:type="dxa"/>
            <w:vAlign w:val="bottom"/>
          </w:tcPr>
          <w:p>
            <w:pPr>
              <w:ind w:left="120"/>
              <w:spacing w:after="0"/>
              <w:rPr>
                <w:sz w:val="20"/>
                <w:szCs w:val="20"/>
                <w:color w:val="auto"/>
              </w:rPr>
            </w:pPr>
            <w:r>
              <w:rPr>
                <w:rFonts w:ascii="Arial" w:cs="Arial" w:eastAsia="Arial" w:hAnsi="Arial"/>
                <w:sz w:val="18"/>
                <w:szCs w:val="18"/>
                <w:color w:val="auto"/>
              </w:rPr>
              <w:t>Stock compensation</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10,204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9,853</w:t>
            </w:r>
          </w:p>
        </w:tc>
      </w:tr>
      <w:tr>
        <w:trPr>
          <w:trHeight w:val="216"/>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Depreciable assets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33,407</w:t>
            </w:r>
          </w:p>
        </w:tc>
      </w:tr>
      <w:tr>
        <w:trPr>
          <w:trHeight w:val="216"/>
        </w:trPr>
        <w:tc>
          <w:tcPr>
            <w:tcW w:w="4980" w:type="dxa"/>
            <w:vAlign w:val="bottom"/>
          </w:tcPr>
          <w:p>
            <w:pPr>
              <w:ind w:left="120"/>
              <w:spacing w:after="0"/>
              <w:rPr>
                <w:sz w:val="20"/>
                <w:szCs w:val="20"/>
                <w:color w:val="auto"/>
              </w:rPr>
            </w:pPr>
            <w:r>
              <w:rPr>
                <w:rFonts w:ascii="Arial" w:cs="Arial" w:eastAsia="Arial" w:hAnsi="Arial"/>
                <w:sz w:val="18"/>
                <w:szCs w:val="18"/>
                <w:color w:val="auto"/>
              </w:rPr>
              <w:t>Reserves and allowances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335</w:t>
            </w:r>
          </w:p>
        </w:tc>
      </w:tr>
      <w:tr>
        <w:trPr>
          <w:trHeight w:val="216"/>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losses on available-for-sale securities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774</w:t>
            </w:r>
          </w:p>
        </w:tc>
      </w:tr>
      <w:tr>
        <w:trPr>
          <w:trHeight w:val="216"/>
        </w:trPr>
        <w:tc>
          <w:tcPr>
            <w:tcW w:w="4980" w:type="dxa"/>
            <w:vAlign w:val="bottom"/>
          </w:tcPr>
          <w:p>
            <w:pPr>
              <w:ind w:left="120"/>
              <w:spacing w:after="0"/>
              <w:rPr>
                <w:sz w:val="20"/>
                <w:szCs w:val="20"/>
                <w:color w:val="auto"/>
              </w:rPr>
            </w:pPr>
            <w:r>
              <w:rPr>
                <w:rFonts w:ascii="Arial" w:cs="Arial" w:eastAsia="Arial" w:hAnsi="Arial"/>
                <w:sz w:val="18"/>
                <w:szCs w:val="18"/>
                <w:color w:val="auto"/>
              </w:rPr>
              <w:t>Unrealized losses on cash flow hedges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1,334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1,572</w:t>
            </w:r>
          </w:p>
        </w:tc>
      </w:tr>
      <w:tr>
        <w:trPr>
          <w:trHeight w:val="216"/>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on shipments to distributors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1,778</w:t>
            </w:r>
          </w:p>
        </w:tc>
      </w:tr>
      <w:tr>
        <w:trPr>
          <w:trHeight w:val="222"/>
        </w:trPr>
        <w:tc>
          <w:tcPr>
            <w:tcW w:w="4980" w:type="dxa"/>
            <w:vAlign w:val="bottom"/>
          </w:tcPr>
          <w:p>
            <w:pPr>
              <w:ind w:left="120"/>
              <w:spacing w:after="0"/>
              <w:rPr>
                <w:sz w:val="20"/>
                <w:szCs w:val="20"/>
                <w:color w:val="auto"/>
              </w:rPr>
            </w:pPr>
            <w:r>
              <w:rPr>
                <w:rFonts w:ascii="Arial" w:cs="Arial" w:eastAsia="Arial" w:hAnsi="Arial"/>
                <w:sz w:val="18"/>
                <w:szCs w:val="18"/>
                <w:color w:val="auto"/>
              </w:rPr>
              <w:t>Accrued liabilities and other</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4,559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4,629</w:t>
            </w:r>
          </w:p>
        </w:tc>
      </w:tr>
      <w:tr>
        <w:trPr>
          <w:trHeight w:val="21"/>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58,520</w:t>
            </w:r>
          </w:p>
        </w:tc>
      </w:tr>
      <w:tr>
        <w:trPr>
          <w:trHeight w:val="222"/>
        </w:trPr>
        <w:tc>
          <w:tcPr>
            <w:tcW w:w="4980" w:type="dxa"/>
            <w:vAlign w:val="bottom"/>
          </w:tcPr>
          <w:p>
            <w:pPr>
              <w:ind w:left="120"/>
              <w:spacing w:after="0"/>
              <w:rPr>
                <w:sz w:val="20"/>
                <w:szCs w:val="20"/>
                <w:color w:val="auto"/>
              </w:rPr>
            </w:pPr>
            <w:r>
              <w:rPr>
                <w:rFonts w:ascii="Arial" w:cs="Arial" w:eastAsia="Arial" w:hAnsi="Arial"/>
                <w:sz w:val="18"/>
                <w:szCs w:val="18"/>
                <w:color w:val="auto"/>
              </w:rPr>
              <w:t>Less: Valuation allowance</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58,520</w:t>
            </w:r>
          </w:p>
        </w:tc>
      </w:tr>
      <w:tr>
        <w:trPr>
          <w:trHeight w:val="431"/>
        </w:trPr>
        <w:tc>
          <w:tcPr>
            <w:tcW w:w="49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7"/>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Acquired intangibles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13,882</w:t>
            </w:r>
          </w:p>
        </w:tc>
      </w:tr>
      <w:tr>
        <w:trPr>
          <w:trHeight w:val="216"/>
        </w:trPr>
        <w:tc>
          <w:tcPr>
            <w:tcW w:w="4980" w:type="dxa"/>
            <w:vAlign w:val="bottom"/>
          </w:tcPr>
          <w:p>
            <w:pPr>
              <w:ind w:left="120"/>
              <w:spacing w:after="0"/>
              <w:rPr>
                <w:sz w:val="20"/>
                <w:szCs w:val="20"/>
                <w:color w:val="auto"/>
              </w:rPr>
            </w:pPr>
            <w:r>
              <w:rPr>
                <w:rFonts w:ascii="Arial" w:cs="Arial" w:eastAsia="Arial" w:hAnsi="Arial"/>
                <w:sz w:val="18"/>
                <w:szCs w:val="18"/>
                <w:color w:val="auto"/>
              </w:rPr>
              <w:t>Long term obligations for tax purposes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33,023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33,023</w:t>
            </w:r>
          </w:p>
        </w:tc>
      </w:tr>
      <w:tr>
        <w:trPr>
          <w:trHeight w:val="216"/>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857</w:t>
            </w:r>
          </w:p>
        </w:tc>
      </w:tr>
      <w:tr>
        <w:trPr>
          <w:trHeight w:val="27"/>
        </w:trPr>
        <w:tc>
          <w:tcPr>
            <w:tcW w:w="4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r>
      <w:tr>
        <w:trPr>
          <w:trHeight w:val="216"/>
        </w:trPr>
        <w:tc>
          <w:tcPr>
            <w:tcW w:w="49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49,793</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47,762</w:t>
            </w:r>
          </w:p>
        </w:tc>
        <w:tc>
          <w:tcPr>
            <w:tcW w:w="160" w:type="dxa"/>
            <w:vAlign w:val="bottom"/>
          </w:tcPr>
          <w:p>
            <w:pPr>
              <w:spacing w:after="0"/>
              <w:rPr>
                <w:sz w:val="18"/>
                <w:szCs w:val="18"/>
                <w:color w:val="auto"/>
              </w:rPr>
            </w:pPr>
          </w:p>
        </w:tc>
      </w:tr>
      <w:tr>
        <w:trPr>
          <w:trHeight w:val="21"/>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deferred tax assets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17,666</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10,758</w:t>
            </w:r>
          </w:p>
        </w:tc>
      </w:tr>
      <w:tr>
        <w:trPr>
          <w:trHeight w:val="27"/>
        </w:trPr>
        <w:tc>
          <w:tcPr>
            <w:tcW w:w="4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of January 1, 2011, the Company had federal net operating loss and research and development credit carryforwards of approximately $25.0 million and $0.3 million, respectively, as a result of the Cygnal Integrated Products and Silicon Clocks acquisitions. These carryforwards expire in fiscal years 2019 through 2030. Recognition of these loss and credit carryforwards is subject to an annual limit, which may cause them to expire before they are used. The Company had foreign net operating loss carryforwards of approximately $4.8 million as a result of the ChipSensors acquisition which do not expire.</w:t>
      </w:r>
    </w:p>
    <w:p>
      <w:pPr>
        <w:spacing w:after="0" w:line="1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January 1, 2011 (Continued)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 (Continued)</w:t>
      </w:r>
    </w:p>
    <w:p>
      <w:pPr>
        <w:spacing w:after="0" w:line="23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Company also had state loss and research and development credit carryforwards of approximately $44.6 million and $7.1 million, respectively. A portion of these loss and credit carryforwards was generated by the Company and a portion was acquired through the Integration Associates and Silicon Clocks acquisitions. Certain of these carryforwards expire in fiscal years 2023 through 2029 and others do not expire. Recognition of some of these loss and credit carryforwards is subject to an annual limit, which may cause them to expire before they are used.</w:t>
      </w:r>
    </w:p>
    <w:p>
      <w:pPr>
        <w:spacing w:after="0" w:line="16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Deferred income taxes reflect the net tax effects of temporary differences between the carrying value of assets and liabilities for financial reporting purposes and the values used for income tax purposes. The Company recorded net deferred tax assets of approximately $7.2 million related to the acquisition of Silicon Clocks in April 2010 and net deferred tax liabilities of approximately $0.5 million related to the acquisition of ChipSensors in October 2010 due to differences between book and tax bases of acquired assets and assumed liabilities. Management believes that the Company's results of future operations will generate sufficient taxable income such that it is "more likely than not" that the deferred tax assets will be realized.</w:t>
      </w:r>
    </w:p>
    <w:p>
      <w:pPr>
        <w:spacing w:after="0" w:line="170"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Company's operations in Singapore are subject to reduced tax rates through 2019, as long as certain conditions are met. The income tax benefit reflected in earnings was approximately $6.1 million (representing $0.13 per diluted share) in fiscal 2010 and approximately $6.3 million (representing $0.13 per diluted share) in fiscal 2009.</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reflects changes in the unrecognized tax benefits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4040" w:type="dxa"/>
            <w:vAlign w:val="bottom"/>
          </w:tcPr>
          <w:p>
            <w:pPr>
              <w:spacing w:after="0"/>
              <w:rPr>
                <w:sz w:val="11"/>
                <w:szCs w:val="11"/>
                <w:color w:val="auto"/>
              </w:rPr>
            </w:pPr>
          </w:p>
        </w:tc>
        <w:tc>
          <w:tcPr>
            <w:tcW w:w="94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8"/>
              </w:rPr>
              <w:t>January 1,</w:t>
            </w:r>
          </w:p>
        </w:tc>
        <w:tc>
          <w:tcPr>
            <w:tcW w:w="92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6"/>
              </w:rPr>
              <w:t>January 2,</w:t>
            </w: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8"/>
              </w:rPr>
              <w:t>January 3,</w:t>
            </w:r>
          </w:p>
        </w:tc>
        <w:tc>
          <w:tcPr>
            <w:tcW w:w="160" w:type="dxa"/>
            <w:vAlign w:val="bottom"/>
          </w:tcPr>
          <w:p>
            <w:pPr>
              <w:spacing w:after="0"/>
              <w:rPr>
                <w:sz w:val="11"/>
                <w:szCs w:val="11"/>
                <w:color w:val="auto"/>
              </w:rPr>
            </w:pPr>
          </w:p>
        </w:tc>
      </w:tr>
      <w:tr>
        <w:trPr>
          <w:trHeight w:val="161"/>
        </w:trPr>
        <w:tc>
          <w:tcPr>
            <w:tcW w:w="4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12,160</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27,301</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w w:val="91"/>
              </w:rPr>
              <w:t>Additions based on tax positions related to current year</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1,742</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8,127</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w w:val="93"/>
              </w:rPr>
              <w:t>Additions based on tax positions related to prior years</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3,906</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Reductions for tax positions related to prior years</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(3,113)</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(14,954)</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w w:val="90"/>
              </w:rPr>
              <w:t>Reductions for tax positions as a result of a lapse of the</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applicable statute of limitations</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(6,639)</w:t>
            </w: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Reductions for settlements with taxing authorities</w:t>
            </w:r>
          </w:p>
        </w:tc>
        <w:tc>
          <w:tcPr>
            <w:tcW w:w="1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(8,511)</w:t>
            </w:r>
          </w:p>
        </w:tc>
        <w:tc>
          <w:tcPr>
            <w:tcW w:w="1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10,789</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32,695</w:t>
            </w:r>
          </w:p>
        </w:tc>
      </w:tr>
      <w:tr>
        <w:trPr>
          <w:trHeight w:val="27"/>
        </w:trPr>
        <w:tc>
          <w:tcPr>
            <w:tcW w:w="4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41"/>
        <w:spacing w:after="0" w:line="254" w:lineRule="auto"/>
        <w:rPr>
          <w:sz w:val="20"/>
          <w:szCs w:val="20"/>
          <w:color w:val="auto"/>
        </w:rPr>
      </w:pPr>
      <w:r>
        <w:rPr>
          <w:rFonts w:ascii="Arial" w:cs="Arial" w:eastAsia="Arial" w:hAnsi="Arial"/>
          <w:sz w:val="18"/>
          <w:szCs w:val="18"/>
          <w:color w:val="auto"/>
        </w:rPr>
        <w:t>At January 1, 2011, the Company had gross unrecognized tax benefits of $10.8 million, all of which would affect the effective tax rate if recognized. The Company recognizes interest and penalties related to unrecognized tax benefits in the provision for income taxes. The Company did not recognize any interest in the provision for income taxes in fiscal 2010. During fiscal 2009 and 2008, the Company recognized $0.8 million and $0.9 million of interest, respectively, net of tax, in the provision for income taxes. In addition, the Company had decreases of interest, net of tax, of $0.1 million in fiscal 2010, of $1.8 million in fiscal 2009 and of $1.2 million in fiscal 2008. The Company has not made an accrual for the payment of interest related to unrecognized tax positions at the end of fiscal 2010. The Company</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1, 2011 (Continued)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had accrued $0.1 million for the payment of interest related to unrecognized tax positions at the end of fiscal 2009.</w:t>
      </w:r>
    </w:p>
    <w:p>
      <w:pPr>
        <w:spacing w:after="0" w:line="225"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tax years 2004 through 2010 remain open to examination by the major taxing jurisdictions to which the Company is subject. During the third quarter of 2010, the examination of the Company's 2005 through 2008 federal income tax returns by the U.S. Internal Revenue Service was completed. The Company is not currently under audit in any major taxing jurisdiction.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231"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Company has one operating segment, mixed-signal analog intensive ICs, consisting of numerous product areas. The Company's chief operating decision maker is considered to be its Chief Executive Officer. The chief operating decision maker allocates resources and assesses performance of the business and other activities at the operating segment level.</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Revenue is attributed to a geographic area based on the end customer's shipped-to location. The following summarizes the Company's revenue by geographic area (in thousands):</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00" w:type="dxa"/>
            <w:vAlign w:val="bottom"/>
          </w:tcPr>
          <w:p>
            <w:pPr>
              <w:spacing w:after="0"/>
              <w:rPr>
                <w:sz w:val="11"/>
                <w:szCs w:val="11"/>
                <w:color w:val="auto"/>
              </w:rPr>
            </w:pPr>
          </w:p>
        </w:tc>
        <w:tc>
          <w:tcPr>
            <w:tcW w:w="940" w:type="dxa"/>
            <w:vAlign w:val="bottom"/>
            <w:gridSpan w:val="4"/>
          </w:tcPr>
          <w:p>
            <w:pPr>
              <w:ind w:left="80"/>
              <w:spacing w:after="0" w:line="129" w:lineRule="exact"/>
              <w:rPr>
                <w:sz w:val="20"/>
                <w:szCs w:val="20"/>
                <w:color w:val="auto"/>
              </w:rPr>
            </w:pPr>
            <w:r>
              <w:rPr>
                <w:rFonts w:ascii="Arial" w:cs="Arial" w:eastAsia="Arial" w:hAnsi="Arial"/>
                <w:sz w:val="14"/>
                <w:szCs w:val="14"/>
                <w:b w:val="1"/>
                <w:bCs w:val="1"/>
                <w:color w:val="auto"/>
              </w:rPr>
              <w:t>January 1,</w:t>
            </w:r>
          </w:p>
        </w:tc>
        <w:tc>
          <w:tcPr>
            <w:tcW w:w="96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6"/>
              </w:rPr>
              <w:t>January 2,</w:t>
            </w: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8"/>
              </w:rPr>
              <w:t>January 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69,753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54,065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51,829</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China</w:t>
            </w: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137,703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105,509</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94,779</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Taiwan</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76,991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68,320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79,351</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South Korea</w:t>
            </w: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65,409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91,974</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56,364</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143,485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121,152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133,307</w:t>
            </w:r>
          </w:p>
        </w:tc>
        <w:tc>
          <w:tcPr>
            <w:tcW w:w="0" w:type="dxa"/>
            <w:vAlign w:val="bottom"/>
          </w:tcPr>
          <w:p>
            <w:pPr>
              <w:spacing w:after="0"/>
              <w:rPr>
                <w:sz w:val="1"/>
                <w:szCs w:val="1"/>
                <w:color w:val="auto"/>
              </w:rPr>
            </w:pPr>
          </w:p>
        </w:tc>
      </w:tr>
      <w:tr>
        <w:trPr>
          <w:trHeight w:val="27"/>
        </w:trPr>
        <w:tc>
          <w:tcPr>
            <w:tcW w:w="40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0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493,341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441,020</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415,630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summarizes the Company's property and equipment, net by geographic area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January 1,</w:t>
            </w:r>
          </w:p>
        </w:tc>
        <w:tc>
          <w:tcPr>
            <w:tcW w:w="16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61"/>
        </w:trPr>
        <w:tc>
          <w:tcPr>
            <w:tcW w:w="4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20,559</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22,528</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Singapore</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8,017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3,739</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7"/>
        </w:trPr>
        <w:tc>
          <w:tcPr>
            <w:tcW w:w="49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80" w:type="dxa"/>
            <w:vAlign w:val="bottom"/>
            <w:vMerge w:val="continue"/>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29,945</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January 25, 2011, the Company acquired Spectra Linear, Inc., a privately held company, for approximately $40 million in cash, subject to certain working capital adjustments, plus potential additional consideration of up to $10 million tied to the revenue of the acquired products exceeding $16 million during 2011. Spectra Linear is a late-stage private company offering integrated timing solutions.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Silicon Laboratories Inc.</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January 1, 2011 (Continued)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 (Continued)</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One of the Company's directors, Harvey B. Cash, is a General Partner with InterWest Partners and InterWest Partners was one of the principal stockholders of Spectra Linear. Mr. Cash abstained from the decision-making process with respect to the acquisition.</w:t>
      </w:r>
    </w:p>
    <w:p>
      <w:pPr>
        <w:spacing w:after="0" w:line="186"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Company will record the purchase of Spectra Linear using the acquisition method of accounting and will recognize the assets acquired and liabilities assumed at their fair values as of the date of the acquisition. The results of Spectra Linear's operations will be included in the Company's consolidated results of operations beginning with the date of the acquisition. The Company is currently evaluating the fair values of the consideration transferred, assets acquired and liabilities assumed and will commence its purchase price allocation in the first quarter of fiscal 2011.</w:t>
      </w:r>
    </w:p>
    <w:p>
      <w:pPr>
        <w:spacing w:after="0" w:line="1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Supplementary Financial Information (Unaudited)</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Quarterly financial information for fiscal 2010 and 2009 is as follows. All quarterly periods reported here had 13 weeks (in thousands, except per share amounts):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8"/>
          </w:tcPr>
          <w:p>
            <w:pPr>
              <w:ind w:left="340"/>
              <w:spacing w:after="0"/>
              <w:rPr>
                <w:sz w:val="20"/>
                <w:szCs w:val="20"/>
                <w:color w:val="auto"/>
              </w:rPr>
            </w:pPr>
            <w:r>
              <w:rPr>
                <w:rFonts w:ascii="Arial" w:cs="Arial" w:eastAsia="Arial" w:hAnsi="Arial"/>
                <w:sz w:val="14"/>
                <w:szCs w:val="14"/>
                <w:b w:val="1"/>
                <w:bCs w:val="1"/>
                <w:color w:val="auto"/>
              </w:rPr>
              <w:t>Fiscal 2010</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w w:val="94"/>
              </w:rPr>
              <w:t>Fourth</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79"/>
              </w:rPr>
              <w:t>Second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176"/>
              <w:spacing w:after="0" w:line="129" w:lineRule="exact"/>
              <w:rPr>
                <w:sz w:val="20"/>
                <w:szCs w:val="20"/>
                <w:color w:val="auto"/>
              </w:rPr>
            </w:pPr>
            <w:r>
              <w:rPr>
                <w:rFonts w:ascii="Arial" w:cs="Arial" w:eastAsia="Arial" w:hAnsi="Arial"/>
                <w:sz w:val="14"/>
                <w:szCs w:val="14"/>
                <w:b w:val="1"/>
                <w:bCs w:val="1"/>
                <w:color w:val="auto"/>
              </w:rPr>
              <w:t>First</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w w:val="90"/>
              </w:rPr>
              <w:t>Quarter</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78"/>
              <w:spacing w:after="0"/>
              <w:rPr>
                <w:sz w:val="20"/>
                <w:szCs w:val="20"/>
                <w:color w:val="auto"/>
              </w:rPr>
            </w:pPr>
            <w:r>
              <w:rPr>
                <w:rFonts w:ascii="Arial" w:cs="Arial" w:eastAsia="Arial" w:hAnsi="Arial"/>
                <w:sz w:val="14"/>
                <w:szCs w:val="14"/>
                <w:b w:val="1"/>
                <w:bCs w:val="1"/>
                <w:color w:val="auto"/>
              </w:rPr>
              <w:t>Quarter</w:t>
            </w:r>
          </w:p>
        </w:tc>
        <w:tc>
          <w:tcPr>
            <w:tcW w:w="16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center"/>
              <w:ind w:right="16"/>
              <w:spacing w:after="0"/>
              <w:rPr>
                <w:sz w:val="20"/>
                <w:szCs w:val="20"/>
                <w:color w:val="auto"/>
              </w:rPr>
            </w:pPr>
            <w:r>
              <w:rPr>
                <w:rFonts w:ascii="Arial" w:cs="Arial" w:eastAsia="Arial" w:hAnsi="Arial"/>
                <w:sz w:val="14"/>
                <w:szCs w:val="14"/>
                <w:b w:val="1"/>
                <w:bCs w:val="1"/>
                <w:color w:val="auto"/>
                <w:w w:val="94"/>
              </w:rPr>
              <w:t>Quarter</w:t>
            </w:r>
          </w:p>
        </w:tc>
        <w:tc>
          <w:tcPr>
            <w:tcW w:w="16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111,891</w:t>
            </w:r>
          </w:p>
        </w:tc>
        <w:tc>
          <w:tcPr>
            <w:tcW w:w="36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120,154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134,577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126,719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71,091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78,670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90,893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83,590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12,883</w:t>
            </w:r>
          </w:p>
        </w:tc>
        <w:tc>
          <w:tcPr>
            <w:tcW w:w="36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18,233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21,047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ind w:right="32"/>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21,079</w:t>
            </w:r>
          </w:p>
        </w:tc>
        <w:tc>
          <w:tcPr>
            <w:tcW w:w="16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1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0.29</w:t>
            </w:r>
          </w:p>
        </w:tc>
        <w:tc>
          <w:tcPr>
            <w:tcW w:w="36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ind w:right="32"/>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36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60" w:type="dxa"/>
            <w:vAlign w:val="bottom"/>
            <w:shd w:val="clear" w:color="auto" w:fill="CCEEFF"/>
          </w:tcPr>
          <w:p>
            <w:pPr>
              <w:spacing w:after="0"/>
              <w:rPr>
                <w:sz w:val="18"/>
                <w:szCs w:val="18"/>
                <w:color w:val="auto"/>
              </w:rPr>
            </w:pPr>
          </w:p>
        </w:tc>
      </w:tr>
      <w:tr>
        <w:trPr>
          <w:trHeight w:val="851"/>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Fiscal 2009</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rPr>
              <w:t>Fourth</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ind w:left="100"/>
              <w:spacing w:after="0" w:line="129" w:lineRule="exact"/>
              <w:rPr>
                <w:sz w:val="20"/>
                <w:szCs w:val="20"/>
                <w:color w:val="auto"/>
              </w:rPr>
            </w:pPr>
            <w:r>
              <w:rPr>
                <w:rFonts w:ascii="Arial" w:cs="Arial" w:eastAsia="Arial" w:hAnsi="Arial"/>
                <w:sz w:val="14"/>
                <w:szCs w:val="14"/>
                <w:b w:val="1"/>
                <w:bCs w:val="1"/>
                <w:color w:val="auto"/>
              </w:rPr>
              <w:t>Second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136"/>
              <w:spacing w:after="0" w:line="129" w:lineRule="exact"/>
              <w:rPr>
                <w:sz w:val="20"/>
                <w:szCs w:val="20"/>
                <w:color w:val="auto"/>
              </w:rPr>
            </w:pPr>
            <w:r>
              <w:rPr>
                <w:rFonts w:ascii="Arial" w:cs="Arial" w:eastAsia="Arial" w:hAnsi="Arial"/>
                <w:sz w:val="14"/>
                <w:szCs w:val="14"/>
                <w:b w:val="1"/>
                <w:bCs w:val="1"/>
                <w:color w:val="auto"/>
              </w:rPr>
              <w:t>First</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8"/>
              </w:rPr>
              <w:t>Quarter</w:t>
            </w:r>
          </w:p>
        </w:tc>
        <w:tc>
          <w:tcPr>
            <w:tcW w:w="2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0"/>
              </w:rPr>
              <w:t>Quarter</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127,190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125,913</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104,216</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83,260</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81,035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64,781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50,678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26,078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4"/>
          </w:tcPr>
          <w:p>
            <w:pPr>
              <w:jc w:val="right"/>
              <w:ind w:right="352"/>
              <w:spacing w:after="0"/>
              <w:rPr>
                <w:sz w:val="20"/>
                <w:szCs w:val="20"/>
                <w:color w:val="auto"/>
              </w:rPr>
            </w:pPr>
            <w:r>
              <w:rPr>
                <w:rFonts w:ascii="Arial" w:cs="Arial" w:eastAsia="Arial" w:hAnsi="Arial"/>
                <w:sz w:val="18"/>
                <w:szCs w:val="18"/>
                <w:color w:val="auto"/>
              </w:rPr>
              <w:t>40,251(1)</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22,439</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9,730</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671</w:t>
            </w:r>
          </w:p>
        </w:tc>
        <w:tc>
          <w:tcPr>
            <w:tcW w:w="16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12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0.88</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0.50</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0.47</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c>
          <w:tcPr>
            <w:tcW w:w="2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a benefit related to the resolution of prior year uncertain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131" w:right="679" w:bottom="1440" w:gutter="0" w:footer="0" w:header="0"/>
        </w:sectPr>
      </w:pPr>
    </w:p>
    <w:bookmarkStart w:id="98" w:name="page99"/>
    <w:bookmarkEnd w:id="9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9" w:name="page100"/>
    <w:bookmarkEnd w:id="99"/>
    <w:p>
      <w:pPr>
        <w:spacing w:after="0"/>
        <w:rPr>
          <w:rFonts w:ascii="Arial" w:cs="Arial" w:eastAsia="Arial" w:hAnsi="Arial"/>
          <w:sz w:val="22"/>
          <w:szCs w:val="22"/>
          <w:color w:val="0000EE"/>
        </w:rPr>
      </w:pPr>
      <w:hyperlink w:anchor="page10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600"/>
        <w:spacing w:after="0"/>
        <w:rPr>
          <w:sz w:val="20"/>
          <w:szCs w:val="20"/>
          <w:color w:val="auto"/>
        </w:rPr>
      </w:pPr>
      <w:r>
        <w:rPr>
          <w:rFonts w:ascii="Arial" w:cs="Arial" w:eastAsia="Arial" w:hAnsi="Arial"/>
          <w:sz w:val="16"/>
          <w:szCs w:val="16"/>
          <w:b w:val="1"/>
          <w:bCs w:val="1"/>
          <w:color w:val="auto"/>
        </w:rPr>
        <w:t>Exhibit 21</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Subsidiaries of the Registrant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56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87"/>
              </w:rPr>
              <w:t>Organized</w:t>
            </w:r>
          </w:p>
        </w:tc>
      </w:tr>
      <w:tr>
        <w:trPr>
          <w:trHeight w:val="161"/>
        </w:trPr>
        <w:tc>
          <w:tcPr>
            <w:tcW w:w="11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Under Law Of</w:t>
            </w:r>
          </w:p>
        </w:tc>
        <w:tc>
          <w:tcPr>
            <w:tcW w:w="1140" w:type="dxa"/>
            <w:vAlign w:val="bottom"/>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Shenzhen Silicon Laboratories Technology Co. Ltd.</w:t>
            </w:r>
          </w:p>
        </w:tc>
        <w:tc>
          <w:tcPr>
            <w:tcW w:w="31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China</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Silicon Laboratories France SAS</w:t>
            </w:r>
          </w:p>
        </w:tc>
        <w:tc>
          <w:tcPr>
            <w:tcW w:w="3120" w:type="dxa"/>
            <w:vAlign w:val="bottom"/>
            <w:gridSpan w:val="2"/>
          </w:tcPr>
          <w:p>
            <w:pPr>
              <w:ind w:left="1680"/>
              <w:spacing w:after="0"/>
              <w:rPr>
                <w:sz w:val="20"/>
                <w:szCs w:val="20"/>
                <w:color w:val="auto"/>
              </w:rPr>
            </w:pPr>
            <w:r>
              <w:rPr>
                <w:rFonts w:ascii="Arial" w:cs="Arial" w:eastAsia="Arial" w:hAnsi="Arial"/>
                <w:sz w:val="18"/>
                <w:szCs w:val="18"/>
                <w:color w:val="auto"/>
              </w:rPr>
              <w:t>France</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Silicon Laboratories GmbH</w:t>
            </w:r>
          </w:p>
        </w:tc>
        <w:tc>
          <w:tcPr>
            <w:tcW w:w="31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Germany</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Silicon Laboratories Asia Pacific, Limited</w:t>
            </w:r>
          </w:p>
        </w:tc>
        <w:tc>
          <w:tcPr>
            <w:tcW w:w="3120" w:type="dxa"/>
            <w:vAlign w:val="bottom"/>
            <w:gridSpan w:val="2"/>
          </w:tcPr>
          <w:p>
            <w:pPr>
              <w:ind w:left="1680"/>
              <w:spacing w:after="0"/>
              <w:rPr>
                <w:sz w:val="20"/>
                <w:szCs w:val="20"/>
                <w:color w:val="auto"/>
              </w:rPr>
            </w:pPr>
            <w:r>
              <w:rPr>
                <w:rFonts w:ascii="Arial" w:cs="Arial" w:eastAsia="Arial" w:hAnsi="Arial"/>
                <w:sz w:val="18"/>
                <w:szCs w:val="18"/>
                <w:color w:val="auto"/>
              </w:rPr>
              <w:t>Hong Kong</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Silicon Laboratories Hungary Korlátolt Felelösségü Társaság</w:t>
            </w:r>
          </w:p>
        </w:tc>
        <w:tc>
          <w:tcPr>
            <w:tcW w:w="31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Hungary</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Silicon Labs Technology India Private Limited</w:t>
            </w:r>
          </w:p>
        </w:tc>
        <w:tc>
          <w:tcPr>
            <w:tcW w:w="3120" w:type="dxa"/>
            <w:vAlign w:val="bottom"/>
            <w:gridSpan w:val="2"/>
          </w:tcPr>
          <w:p>
            <w:pPr>
              <w:ind w:left="1680"/>
              <w:spacing w:after="0"/>
              <w:rPr>
                <w:sz w:val="20"/>
                <w:szCs w:val="20"/>
                <w:color w:val="auto"/>
              </w:rPr>
            </w:pPr>
            <w:r>
              <w:rPr>
                <w:rFonts w:ascii="Arial" w:cs="Arial" w:eastAsia="Arial" w:hAnsi="Arial"/>
                <w:sz w:val="18"/>
                <w:szCs w:val="18"/>
                <w:color w:val="auto"/>
              </w:rPr>
              <w:t>India</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ChipSensors Limited</w:t>
            </w:r>
          </w:p>
        </w:tc>
        <w:tc>
          <w:tcPr>
            <w:tcW w:w="31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Ireland</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Silicon Laboratories Ireland Limited</w:t>
            </w:r>
          </w:p>
        </w:tc>
        <w:tc>
          <w:tcPr>
            <w:tcW w:w="3120" w:type="dxa"/>
            <w:vAlign w:val="bottom"/>
            <w:gridSpan w:val="2"/>
          </w:tcPr>
          <w:p>
            <w:pPr>
              <w:ind w:left="1680"/>
              <w:spacing w:after="0"/>
              <w:rPr>
                <w:sz w:val="20"/>
                <w:szCs w:val="20"/>
                <w:color w:val="auto"/>
              </w:rPr>
            </w:pPr>
            <w:r>
              <w:rPr>
                <w:rFonts w:ascii="Arial" w:cs="Arial" w:eastAsia="Arial" w:hAnsi="Arial"/>
                <w:sz w:val="18"/>
                <w:szCs w:val="18"/>
                <w:color w:val="auto"/>
              </w:rPr>
              <w:t>Ireland</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Silicon Laboratories Italy, S.r.l.</w:t>
            </w:r>
          </w:p>
        </w:tc>
        <w:tc>
          <w:tcPr>
            <w:tcW w:w="31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Italy</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Silicon Laboratories Y.K.</w:t>
            </w:r>
          </w:p>
        </w:tc>
        <w:tc>
          <w:tcPr>
            <w:tcW w:w="3120" w:type="dxa"/>
            <w:vAlign w:val="bottom"/>
            <w:gridSpan w:val="2"/>
          </w:tcPr>
          <w:p>
            <w:pPr>
              <w:ind w:left="1680"/>
              <w:spacing w:after="0"/>
              <w:rPr>
                <w:sz w:val="20"/>
                <w:szCs w:val="20"/>
                <w:color w:val="auto"/>
              </w:rPr>
            </w:pPr>
            <w:r>
              <w:rPr>
                <w:rFonts w:ascii="Arial" w:cs="Arial" w:eastAsia="Arial" w:hAnsi="Arial"/>
                <w:sz w:val="18"/>
                <w:szCs w:val="18"/>
                <w:color w:val="auto"/>
              </w:rPr>
              <w:t>Japan</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SL—Silicon Laboratories, Unipessoal Lda</w:t>
            </w:r>
          </w:p>
        </w:tc>
        <w:tc>
          <w:tcPr>
            <w:tcW w:w="31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Portugal</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Silicon Laboratories International Pte. Ltd.</w:t>
            </w:r>
          </w:p>
        </w:tc>
        <w:tc>
          <w:tcPr>
            <w:tcW w:w="3120" w:type="dxa"/>
            <w:vAlign w:val="bottom"/>
            <w:gridSpan w:val="2"/>
          </w:tcPr>
          <w:p>
            <w:pPr>
              <w:ind w:left="1680"/>
              <w:spacing w:after="0"/>
              <w:rPr>
                <w:sz w:val="20"/>
                <w:szCs w:val="20"/>
                <w:color w:val="auto"/>
              </w:rPr>
            </w:pPr>
            <w:r>
              <w:rPr>
                <w:rFonts w:ascii="Arial" w:cs="Arial" w:eastAsia="Arial" w:hAnsi="Arial"/>
                <w:sz w:val="18"/>
                <w:szCs w:val="18"/>
                <w:color w:val="auto"/>
              </w:rPr>
              <w:t>Singapore</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Silicon Laboratories UK Limited</w:t>
            </w:r>
          </w:p>
        </w:tc>
        <w:tc>
          <w:tcPr>
            <w:tcW w:w="31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United Kingdom</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Silicon Labs Integration, Inc.</w:t>
            </w:r>
          </w:p>
        </w:tc>
        <w:tc>
          <w:tcPr>
            <w:tcW w:w="3120" w:type="dxa"/>
            <w:vAlign w:val="bottom"/>
            <w:gridSpan w:val="2"/>
          </w:tcPr>
          <w:p>
            <w:pPr>
              <w:ind w:left="1680"/>
              <w:spacing w:after="0"/>
              <w:rPr>
                <w:sz w:val="20"/>
                <w:szCs w:val="20"/>
                <w:color w:val="auto"/>
              </w:rPr>
            </w:pPr>
            <w:r>
              <w:rPr>
                <w:rFonts w:ascii="Arial" w:cs="Arial" w:eastAsia="Arial" w:hAnsi="Arial"/>
                <w:sz w:val="18"/>
                <w:szCs w:val="18"/>
                <w:color w:val="auto"/>
                <w:w w:val="99"/>
              </w:rPr>
              <w:t>State of California</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Silicon Laboratories Technology, LLC</w:t>
            </w:r>
          </w:p>
        </w:tc>
        <w:tc>
          <w:tcPr>
            <w:tcW w:w="31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w w:val="99"/>
              </w:rPr>
              <w:t>State of Delaware</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Silicon Labs CP, Inc.</w:t>
            </w:r>
          </w:p>
        </w:tc>
        <w:tc>
          <w:tcPr>
            <w:tcW w:w="3120" w:type="dxa"/>
            <w:vAlign w:val="bottom"/>
            <w:gridSpan w:val="2"/>
          </w:tcPr>
          <w:p>
            <w:pPr>
              <w:ind w:left="1680"/>
              <w:spacing w:after="0"/>
              <w:rPr>
                <w:sz w:val="20"/>
                <w:szCs w:val="20"/>
                <w:color w:val="auto"/>
              </w:rPr>
            </w:pPr>
            <w:r>
              <w:rPr>
                <w:rFonts w:ascii="Arial" w:cs="Arial" w:eastAsia="Arial" w:hAnsi="Arial"/>
                <w:sz w:val="18"/>
                <w:szCs w:val="18"/>
                <w:color w:val="auto"/>
                <w:w w:val="99"/>
              </w:rPr>
              <w:t>State of Delaware</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Silicon Labs HV, Inc.</w:t>
            </w:r>
          </w:p>
        </w:tc>
        <w:tc>
          <w:tcPr>
            <w:tcW w:w="31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State of Texas</w:t>
            </w:r>
          </w:p>
        </w:tc>
        <w:tc>
          <w:tcPr>
            <w:tcW w:w="1140" w:type="dxa"/>
            <w:vAlign w:val="bottom"/>
          </w:tcPr>
          <w:p>
            <w:pPr>
              <w:spacing w:after="0"/>
              <w:rPr>
                <w:sz w:val="18"/>
                <w:szCs w:val="18"/>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00" w:name="page101"/>
    <w:bookmarkEnd w:id="10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Exhibit 21</w:t>
        </w:r>
      </w:hyperlink>
    </w:p>
    <w:p>
      <w:pPr>
        <w:spacing w:after="0" w:line="225" w:lineRule="exact"/>
        <w:rPr>
          <w:sz w:val="20"/>
          <w:szCs w:val="20"/>
          <w:color w:val="auto"/>
        </w:rPr>
      </w:pPr>
    </w:p>
    <w:p>
      <w:pPr>
        <w:spacing w:after="0"/>
        <w:rPr>
          <w:rFonts w:ascii="Arial" w:cs="Arial" w:eastAsia="Arial" w:hAnsi="Arial"/>
          <w:sz w:val="15"/>
          <w:szCs w:val="15"/>
          <w:u w:val="single" w:color="auto"/>
          <w:color w:val="0000EE"/>
        </w:rPr>
      </w:pPr>
      <w:hyperlink w:anchor="page100">
        <w:r>
          <w:rPr>
            <w:rFonts w:ascii="Arial" w:cs="Arial" w:eastAsia="Arial" w:hAnsi="Arial"/>
            <w:sz w:val="15"/>
            <w:szCs w:val="15"/>
            <w:u w:val="single" w:color="auto"/>
            <w:color w:val="0000EE"/>
          </w:rPr>
          <w:t>Subsidiaries of the Registrant</w:t>
        </w:r>
      </w:hyperlink>
    </w:p>
    <w:p>
      <w:pPr>
        <w:sectPr>
          <w:pgSz w:w="11900" w:h="16838" w:orient="portrait"/>
          <w:cols w:equalWidth="0" w:num="1">
            <w:col w:w="10219"/>
          </w:cols>
          <w:pgMar w:left="240" w:top="820" w:right="1440" w:bottom="1440" w:gutter="0" w:footer="0" w:header="0"/>
        </w:sectPr>
      </w:pPr>
    </w:p>
    <w:bookmarkStart w:id="101" w:name="page102"/>
    <w:bookmarkEnd w:id="101"/>
    <w:p>
      <w:pPr>
        <w:spacing w:after="0"/>
        <w:rPr>
          <w:rFonts w:ascii="Arial" w:cs="Arial" w:eastAsia="Arial" w:hAnsi="Arial"/>
          <w:sz w:val="22"/>
          <w:szCs w:val="22"/>
          <w:color w:val="0000EE"/>
        </w:rPr>
      </w:pPr>
      <w:hyperlink w:anchor="page10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23.1</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We consent to the incorporation by reference in the Registration Statements (Form S-8 Nos. 333-39528, 333-45682, 333-60794, 333-83844, 333-104771, 333-112324, 333-122845, 333-131700, 333-140862, 333-149104 and 333-158938) pertaining to the stock incentive and employee stock purchase plans of Silicon Laboratories Inc. of our reports dated February 10, 2011, with respect to the consolidated financial statements of Silicon Laboratories Inc. and the effectiveness of internal control over financial reporting of Silicon Laboratories Inc., included in this Annual Report (Form 10-K) for the year ended January 1, 2011.</w:t>
      </w:r>
    </w:p>
    <w:p>
      <w:pPr>
        <w:spacing w:after="0" w:line="15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02" w:name="page103"/>
    <w:bookmarkEnd w:id="10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02">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103" w:name="page104"/>
    <w:bookmarkEnd w:id="103"/>
    <w:p>
      <w:pPr>
        <w:spacing w:after="0"/>
        <w:rPr>
          <w:rFonts w:ascii="Arial" w:cs="Arial" w:eastAsia="Arial" w:hAnsi="Arial"/>
          <w:sz w:val="22"/>
          <w:szCs w:val="22"/>
          <w:color w:val="0000EE"/>
        </w:rPr>
      </w:pPr>
      <w:hyperlink w:anchor="page10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to the Securities and Exchange Commission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by Registrant's Chief Executive Officer, as required by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Necip Sayiner, certify that:</w:t>
      </w:r>
    </w:p>
    <w:p>
      <w:pPr>
        <w:spacing w:after="0" w:line="239" w:lineRule="exact"/>
        <w:rPr>
          <w:sz w:val="20"/>
          <w:szCs w:val="20"/>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report on Form 10-K of Silicon Laboratories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 w:hanging="532"/>
        <w:spacing w:after="0" w:line="259"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40" w:hanging="532"/>
        <w:spacing w:after="0" w:line="370" w:lineRule="auto"/>
        <w:tabs>
          <w:tab w:leader="none" w:pos="1080" w:val="left"/>
        </w:tabs>
        <w:numPr>
          <w:ilvl w:val="1"/>
          <w:numId w:val="3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460" w:hanging="532"/>
        <w:spacing w:after="0" w:line="332" w:lineRule="auto"/>
        <w:tabs>
          <w:tab w:leader="none" w:pos="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fulfilling the equivalent functions):</w:t>
      </w:r>
    </w:p>
    <w:p>
      <w:pPr>
        <w:spacing w:after="0" w:line="368" w:lineRule="exact"/>
        <w:rPr>
          <w:rFonts w:ascii="Arial" w:cs="Arial" w:eastAsia="Arial" w:hAnsi="Arial"/>
          <w:sz w:val="16"/>
          <w:szCs w:val="16"/>
          <w:color w:val="auto"/>
        </w:rPr>
      </w:pPr>
    </w:p>
    <w:p>
      <w:pPr>
        <w:ind w:left="1080" w:right="160" w:hanging="532"/>
        <w:spacing w:after="0" w:line="332" w:lineRule="auto"/>
        <w:tabs>
          <w:tab w:leader="none" w:pos="10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140" w:hanging="532"/>
        <w:spacing w:after="0" w:line="268" w:lineRule="auto"/>
        <w:tabs>
          <w:tab w:leader="none" w:pos="1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NECIP SAYINER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331914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Necip Sayiner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04" w:name="page105"/>
    <w:bookmarkEnd w:id="10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04">
        <w:r>
          <w:rPr>
            <w:rFonts w:ascii="Arial" w:cs="Arial" w:eastAsia="Arial" w:hAnsi="Arial"/>
            <w:sz w:val="16"/>
            <w:szCs w:val="16"/>
            <w:u w:val="single" w:color="auto"/>
            <w:color w:val="0000EE"/>
          </w:rPr>
          <w:t>Certification to the Securities and Exchange Commission by Registrant's Chief Executive Officer, as required by Section 302 of the Sarbanes-Oxley Act of 2002</w:t>
        </w:r>
      </w:hyperlink>
    </w:p>
    <w:p>
      <w:pPr>
        <w:sectPr>
          <w:pgSz w:w="11900" w:h="16838" w:orient="portrait"/>
          <w:cols w:equalWidth="0" w:num="1">
            <w:col w:w="11300"/>
          </w:cols>
          <w:pgMar w:left="240" w:top="820" w:right="359" w:bottom="1440" w:gutter="0" w:footer="0" w:header="0"/>
        </w:sectPr>
      </w:pPr>
    </w:p>
    <w:bookmarkStart w:id="105" w:name="page106"/>
    <w:bookmarkEnd w:id="105"/>
    <w:p>
      <w:pPr>
        <w:spacing w:after="0"/>
        <w:rPr>
          <w:rFonts w:ascii="Arial" w:cs="Arial" w:eastAsia="Arial" w:hAnsi="Arial"/>
          <w:sz w:val="22"/>
          <w:szCs w:val="22"/>
          <w:color w:val="0000EE"/>
        </w:rPr>
      </w:pPr>
      <w:hyperlink w:anchor="page10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to the Securities and Exchange Commission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by Registrant's Chief Financial Officer, as required by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William G. Bock, certify that:</w:t>
      </w:r>
    </w:p>
    <w:p>
      <w:pPr>
        <w:spacing w:after="0" w:line="239" w:lineRule="exact"/>
        <w:rPr>
          <w:sz w:val="20"/>
          <w:szCs w:val="20"/>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report on Form 10-K of Silicon Laboratories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 w:hanging="532"/>
        <w:spacing w:after="0" w:line="259"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40" w:hanging="532"/>
        <w:spacing w:after="0" w:line="370" w:lineRule="auto"/>
        <w:tabs>
          <w:tab w:leader="none" w:pos="1080" w:val="left"/>
        </w:tabs>
        <w:numPr>
          <w:ilvl w:val="1"/>
          <w:numId w:val="4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460" w:hanging="532"/>
        <w:spacing w:after="0" w:line="332"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fulfilling the equivalent functions):</w:t>
      </w:r>
    </w:p>
    <w:p>
      <w:pPr>
        <w:spacing w:after="0" w:line="368" w:lineRule="exact"/>
        <w:rPr>
          <w:rFonts w:ascii="Arial" w:cs="Arial" w:eastAsia="Arial" w:hAnsi="Arial"/>
          <w:sz w:val="16"/>
          <w:szCs w:val="16"/>
          <w:color w:val="auto"/>
        </w:rPr>
      </w:pPr>
    </w:p>
    <w:p>
      <w:pPr>
        <w:ind w:left="1080" w:right="160" w:hanging="532"/>
        <w:spacing w:after="0" w:line="332" w:lineRule="auto"/>
        <w:tabs>
          <w:tab w:leader="none" w:pos="10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140" w:hanging="532"/>
        <w:spacing w:after="0" w:line="268" w:lineRule="auto"/>
        <w:tabs>
          <w:tab w:leader="none" w:pos="10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WILLIAM G. BOCK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331914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William G. Bock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06" w:name="page107"/>
    <w:bookmarkEnd w:id="10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06">
        <w:r>
          <w:rPr>
            <w:rFonts w:ascii="Arial" w:cs="Arial" w:eastAsia="Arial" w:hAnsi="Arial"/>
            <w:sz w:val="16"/>
            <w:szCs w:val="16"/>
            <w:u w:val="single" w:color="auto"/>
            <w:color w:val="0000EE"/>
          </w:rPr>
          <w:t>Certification to the Securities and Exchange Commission by Registrant's Chief Financial Officer, as required by Section 302 of the Sarbanes-Oxley Act of 2002</w:t>
        </w:r>
      </w:hyperlink>
    </w:p>
    <w:p>
      <w:pPr>
        <w:sectPr>
          <w:pgSz w:w="11900" w:h="16838" w:orient="portrait"/>
          <w:cols w:equalWidth="0" w:num="1">
            <w:col w:w="11240"/>
          </w:cols>
          <w:pgMar w:left="240" w:top="820" w:right="419" w:bottom="1440" w:gutter="0" w:footer="0" w:header="0"/>
        </w:sectPr>
      </w:pPr>
    </w:p>
    <w:bookmarkStart w:id="107" w:name="page108"/>
    <w:bookmarkEnd w:id="107"/>
    <w:p>
      <w:pPr>
        <w:spacing w:after="0"/>
        <w:rPr>
          <w:rFonts w:ascii="Arial" w:cs="Arial" w:eastAsia="Arial" w:hAnsi="Arial"/>
          <w:sz w:val="22"/>
          <w:szCs w:val="22"/>
          <w:color w:val="0000EE"/>
        </w:rPr>
      </w:pPr>
      <w:hyperlink w:anchor="page10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Pursuant to 18 U.S.C. § 1350, as created by Section 906 of the Sarbanes-Oxley Act of 2002, each of the undersigned officers of Silicon Laboratories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certify that:</w:t>
      </w:r>
    </w:p>
    <w:p>
      <w:pPr>
        <w:spacing w:after="0" w:line="219" w:lineRule="exact"/>
        <w:rPr>
          <w:sz w:val="20"/>
          <w:szCs w:val="20"/>
          <w:color w:val="auto"/>
        </w:rPr>
      </w:pPr>
    </w:p>
    <w:p>
      <w:pPr>
        <w:ind w:left="540" w:right="220" w:firstLine="447"/>
        <w:spacing w:after="0" w:line="259" w:lineRule="auto"/>
        <w:tabs>
          <w:tab w:leader="none" w:pos="123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fiscal year ended January 1, 2011 as filed with the Securities and Exchange Commission (the "Report") fully complies with the requirements of Section 13(a) or Section 15(d), as applicable, of the Securities Exchange Act of 1934; and</w:t>
      </w:r>
    </w:p>
    <w:p>
      <w:pPr>
        <w:spacing w:after="0" w:line="194" w:lineRule="exact"/>
        <w:rPr>
          <w:rFonts w:ascii="Arial" w:cs="Arial" w:eastAsia="Arial" w:hAnsi="Arial"/>
          <w:sz w:val="18"/>
          <w:szCs w:val="18"/>
          <w:color w:val="auto"/>
        </w:rPr>
      </w:pPr>
    </w:p>
    <w:p>
      <w:pPr>
        <w:ind w:left="1240" w:hanging="297"/>
        <w:spacing w:after="0"/>
        <w:tabs>
          <w:tab w:leader="none" w:pos="12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Exchange Commission or its staff upon request.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NECIP SAYINER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331914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Necip Sayiner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WILLIAM G. BOCK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331914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William G. Bock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08" w:name="page109"/>
    <w:bookmarkEnd w:id="10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08">
        <w:r>
          <w:rPr>
            <w:rFonts w:ascii="Arial" w:cs="Arial" w:eastAsia="Arial" w:hAnsi="Arial"/>
            <w:sz w:val="16"/>
            <w:szCs w:val="16"/>
            <w:u w:val="single" w:color="auto"/>
            <w:color w:val="0000EE"/>
          </w:rPr>
          <w:t>Certification of Chief Executive Officer and Chief Financial Officer</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o"/>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3"/>
    </w:lvl>
  </w:abstractNum>
  <w:abstractNum w:abstractNumId="28">
    <w:nsid w:val="5577F8E1"/>
    <w:multiLevelType w:val="hybridMultilevel"/>
    <w:lvl w:ilvl="0">
      <w:lvlJc w:val="left"/>
      <w:lvlText w:val="(%1)"/>
      <w:numFmt w:val="lowerLetter"/>
      <w:start w:val="2"/>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lowerRoman"/>
      <w:start w:val="4"/>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2019-12-10T16:22:59Z</dcterms:created>
  <dcterms:modified xsi:type="dcterms:W3CDTF">2019-12-10T16:22:59Z</dcterms:modified>
</cp:coreProperties>
</file>