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639635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6355"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196850</wp:posOffset>
            </wp:positionV>
            <wp:extent cx="63963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6355" cy="8255"/>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98" w:lineRule="exact"/>
        <w:rPr>
          <w:sz w:val="24"/>
          <w:szCs w:val="24"/>
          <w:color w:val="auto"/>
        </w:rPr>
      </w:pPr>
    </w:p>
    <w:p>
      <w:pPr>
        <w:ind w:left="340"/>
        <w:spacing w:after="0"/>
        <w:rPr>
          <w:sz w:val="20"/>
          <w:szCs w:val="20"/>
          <w:color w:val="auto"/>
        </w:rPr>
      </w:pPr>
      <w:r>
        <w:rPr>
          <w:rFonts w:ascii="Arial" w:cs="Arial" w:eastAsia="Arial" w:hAnsi="Arial"/>
          <w:sz w:val="14"/>
          <w:szCs w:val="14"/>
          <w:color w:val="auto"/>
        </w:rPr>
        <w:t>(Mark One)</w:t>
      </w:r>
    </w:p>
    <w:p>
      <w:pPr>
        <w:spacing w:after="0" w:line="3" w:lineRule="exact"/>
        <w:rPr>
          <w:sz w:val="24"/>
          <w:szCs w:val="24"/>
          <w:color w:val="auto"/>
        </w:rPr>
      </w:pPr>
    </w:p>
    <w:p>
      <w:pPr>
        <w:ind w:left="1340" w:right="440" w:hanging="758"/>
        <w:spacing w:after="0" w:line="262" w:lineRule="auto"/>
        <w:tabs>
          <w:tab w:leader="none" w:pos="134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28, 2019</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or</w:t>
      </w:r>
    </w:p>
    <w:p>
      <w:pPr>
        <w:spacing w:after="0" w:line="106" w:lineRule="exact"/>
        <w:rPr>
          <w:sz w:val="24"/>
          <w:szCs w:val="24"/>
          <w:color w:val="auto"/>
        </w:rPr>
      </w:pPr>
    </w:p>
    <w:p>
      <w:pPr>
        <w:ind w:left="1340" w:right="40" w:hanging="758"/>
        <w:spacing w:after="0" w:line="286" w:lineRule="auto"/>
        <w:tabs>
          <w:tab w:leader="none" w:pos="134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135"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For the transition period from ________ to ________</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000-29823</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SILICON LABORATORIES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jc w:val="center"/>
              <w:ind w:left="946"/>
              <w:spacing w:after="0"/>
              <w:rPr>
                <w:sz w:val="20"/>
                <w:szCs w:val="20"/>
                <w:color w:val="auto"/>
              </w:rPr>
            </w:pPr>
            <w:r>
              <w:rPr>
                <w:rFonts w:ascii="Arial" w:cs="Arial" w:eastAsia="Arial" w:hAnsi="Arial"/>
                <w:sz w:val="14"/>
                <w:szCs w:val="14"/>
                <w:b w:val="1"/>
                <w:bCs w:val="1"/>
                <w:color w:val="auto"/>
                <w:w w:val="91"/>
              </w:rPr>
              <w:t>Delaware</w:t>
            </w: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Pr>
          <w:p>
            <w:pPr>
              <w:jc w:val="right"/>
              <w:ind w:right="2109"/>
              <w:spacing w:after="0"/>
              <w:rPr>
                <w:sz w:val="20"/>
                <w:szCs w:val="20"/>
                <w:color w:val="auto"/>
              </w:rPr>
            </w:pPr>
            <w:r>
              <w:rPr>
                <w:rFonts w:ascii="Arial" w:cs="Arial" w:eastAsia="Arial" w:hAnsi="Arial"/>
                <w:sz w:val="14"/>
                <w:szCs w:val="14"/>
                <w:b w:val="1"/>
                <w:bCs w:val="1"/>
                <w:color w:val="auto"/>
              </w:rPr>
              <w:t>74-2793174</w:t>
            </w:r>
          </w:p>
        </w:tc>
      </w:tr>
      <w:tr>
        <w:trPr>
          <w:trHeight w:val="146"/>
        </w:trPr>
        <w:tc>
          <w:tcPr>
            <w:tcW w:w="4020" w:type="dxa"/>
            <w:vAlign w:val="bottom"/>
            <w:gridSpan w:val="3"/>
          </w:tcPr>
          <w:p>
            <w:pPr>
              <w:jc w:val="center"/>
              <w:ind w:left="946"/>
              <w:spacing w:after="0" w:line="146" w:lineRule="exact"/>
              <w:rPr>
                <w:sz w:val="20"/>
                <w:szCs w:val="20"/>
                <w:color w:val="auto"/>
              </w:rPr>
            </w:pPr>
            <w:r>
              <w:rPr>
                <w:rFonts w:ascii="Arial" w:cs="Arial" w:eastAsia="Arial" w:hAnsi="Arial"/>
                <w:sz w:val="14"/>
                <w:szCs w:val="14"/>
                <w:color w:val="auto"/>
                <w:w w:val="93"/>
              </w:rPr>
              <w:t>(State or other jurisdiction of</w:t>
            </w: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tcPr>
          <w:p>
            <w:pPr>
              <w:jc w:val="center"/>
              <w:ind w:right="1849"/>
              <w:spacing w:after="0" w:line="146" w:lineRule="exact"/>
              <w:rPr>
                <w:sz w:val="20"/>
                <w:szCs w:val="20"/>
                <w:color w:val="auto"/>
              </w:rPr>
            </w:pPr>
            <w:r>
              <w:rPr>
                <w:rFonts w:ascii="Arial" w:cs="Arial" w:eastAsia="Arial" w:hAnsi="Arial"/>
                <w:sz w:val="14"/>
                <w:szCs w:val="14"/>
                <w:color w:val="auto"/>
                <w:w w:val="95"/>
              </w:rPr>
              <w:t>(I.R.S. Employer</w:t>
            </w:r>
          </w:p>
        </w:tc>
      </w:tr>
      <w:tr>
        <w:trPr>
          <w:trHeight w:val="180"/>
        </w:trPr>
        <w:tc>
          <w:tcPr>
            <w:tcW w:w="4020" w:type="dxa"/>
            <w:vAlign w:val="bottom"/>
            <w:gridSpan w:val="3"/>
          </w:tcPr>
          <w:p>
            <w:pPr>
              <w:jc w:val="center"/>
              <w:ind w:left="926"/>
              <w:spacing w:after="0"/>
              <w:rPr>
                <w:sz w:val="20"/>
                <w:szCs w:val="20"/>
                <w:color w:val="auto"/>
              </w:rPr>
            </w:pPr>
            <w:r>
              <w:rPr>
                <w:rFonts w:ascii="Arial" w:cs="Arial" w:eastAsia="Arial" w:hAnsi="Arial"/>
                <w:sz w:val="14"/>
                <w:szCs w:val="14"/>
                <w:color w:val="auto"/>
                <w:w w:val="93"/>
              </w:rPr>
              <w:t>incorporation or organization)</w:t>
            </w: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jc w:val="center"/>
              <w:ind w:right="1849"/>
              <w:spacing w:after="0"/>
              <w:rPr>
                <w:sz w:val="20"/>
                <w:szCs w:val="20"/>
                <w:color w:val="auto"/>
              </w:rPr>
            </w:pPr>
            <w:r>
              <w:rPr>
                <w:rFonts w:ascii="Arial" w:cs="Arial" w:eastAsia="Arial" w:hAnsi="Arial"/>
                <w:sz w:val="14"/>
                <w:szCs w:val="14"/>
                <w:color w:val="auto"/>
                <w:w w:val="97"/>
              </w:rPr>
              <w:t>Identification No.)</w:t>
            </w:r>
          </w:p>
        </w:tc>
      </w:tr>
      <w:tr>
        <w:trPr>
          <w:trHeight w:val="232"/>
        </w:trPr>
        <w:tc>
          <w:tcPr>
            <w:tcW w:w="4020" w:type="dxa"/>
            <w:vAlign w:val="bottom"/>
            <w:gridSpan w:val="3"/>
          </w:tcPr>
          <w:p>
            <w:pPr>
              <w:jc w:val="center"/>
              <w:ind w:left="926"/>
              <w:spacing w:after="0"/>
              <w:rPr>
                <w:sz w:val="20"/>
                <w:szCs w:val="20"/>
                <w:color w:val="auto"/>
              </w:rPr>
            </w:pPr>
            <w:r>
              <w:rPr>
                <w:rFonts w:ascii="Arial" w:cs="Arial" w:eastAsia="Arial" w:hAnsi="Arial"/>
                <w:sz w:val="14"/>
                <w:szCs w:val="14"/>
                <w:b w:val="1"/>
                <w:bCs w:val="1"/>
                <w:color w:val="auto"/>
                <w:w w:val="90"/>
              </w:rPr>
              <w:t>400 West Cesar Chavez, Austin, Texas</w:t>
            </w:r>
          </w:p>
        </w:tc>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jc w:val="right"/>
              <w:ind w:right="2289"/>
              <w:spacing w:after="0"/>
              <w:rPr>
                <w:sz w:val="20"/>
                <w:szCs w:val="20"/>
                <w:color w:val="auto"/>
              </w:rPr>
            </w:pPr>
            <w:r>
              <w:rPr>
                <w:rFonts w:ascii="Arial" w:cs="Arial" w:eastAsia="Arial" w:hAnsi="Arial"/>
                <w:sz w:val="14"/>
                <w:szCs w:val="14"/>
                <w:b w:val="1"/>
                <w:bCs w:val="1"/>
                <w:color w:val="auto"/>
              </w:rPr>
              <w:t>78701</w:t>
            </w:r>
          </w:p>
        </w:tc>
      </w:tr>
      <w:tr>
        <w:trPr>
          <w:trHeight w:val="180"/>
        </w:trPr>
        <w:tc>
          <w:tcPr>
            <w:tcW w:w="4020" w:type="dxa"/>
            <w:vAlign w:val="bottom"/>
            <w:gridSpan w:val="3"/>
          </w:tcPr>
          <w:p>
            <w:pPr>
              <w:jc w:val="center"/>
              <w:ind w:left="946"/>
              <w:spacing w:after="0"/>
              <w:rPr>
                <w:sz w:val="20"/>
                <w:szCs w:val="20"/>
                <w:color w:val="auto"/>
              </w:rPr>
            </w:pPr>
            <w:r>
              <w:rPr>
                <w:rFonts w:ascii="Arial" w:cs="Arial" w:eastAsia="Arial" w:hAnsi="Arial"/>
                <w:sz w:val="14"/>
                <w:szCs w:val="14"/>
                <w:color w:val="auto"/>
                <w:w w:val="93"/>
              </w:rPr>
              <w:t>(Address of principal executive offices)</w:t>
            </w: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jc w:val="center"/>
              <w:ind w:right="1849"/>
              <w:spacing w:after="0"/>
              <w:rPr>
                <w:sz w:val="20"/>
                <w:szCs w:val="20"/>
                <w:color w:val="auto"/>
              </w:rPr>
            </w:pPr>
            <w:r>
              <w:rPr>
                <w:rFonts w:ascii="Arial" w:cs="Arial" w:eastAsia="Arial" w:hAnsi="Arial"/>
                <w:sz w:val="14"/>
                <w:szCs w:val="14"/>
                <w:color w:val="auto"/>
                <w:w w:val="93"/>
              </w:rPr>
              <w:t>(Zip Code)</w:t>
            </w:r>
          </w:p>
        </w:tc>
      </w:tr>
      <w:tr>
        <w:trPr>
          <w:trHeight w:val="267"/>
        </w:trPr>
        <w:tc>
          <w:tcPr>
            <w:tcW w:w="3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520" w:type="dxa"/>
            <w:vAlign w:val="bottom"/>
          </w:tcPr>
          <w:p>
            <w:pPr>
              <w:jc w:val="center"/>
              <w:ind w:right="406"/>
              <w:spacing w:after="0"/>
              <w:rPr>
                <w:sz w:val="20"/>
                <w:szCs w:val="20"/>
                <w:color w:val="auto"/>
              </w:rPr>
            </w:pPr>
            <w:r>
              <w:rPr>
                <w:rFonts w:ascii="Arial" w:cs="Arial" w:eastAsia="Arial" w:hAnsi="Arial"/>
                <w:sz w:val="16"/>
                <w:szCs w:val="16"/>
                <w:b w:val="1"/>
                <w:bCs w:val="1"/>
                <w:color w:val="auto"/>
                <w:w w:val="91"/>
              </w:rPr>
              <w:t>(512) 416-8500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204"/>
        </w:trPr>
        <w:tc>
          <w:tcPr>
            <w:tcW w:w="3200" w:type="dxa"/>
            <w:vAlign w:val="bottom"/>
          </w:tcPr>
          <w:p>
            <w:pPr>
              <w:spacing w:after="0"/>
              <w:rPr>
                <w:sz w:val="17"/>
                <w:szCs w:val="17"/>
                <w:color w:val="auto"/>
              </w:rPr>
            </w:pPr>
          </w:p>
        </w:tc>
        <w:tc>
          <w:tcPr>
            <w:tcW w:w="3740" w:type="dxa"/>
            <w:vAlign w:val="bottom"/>
            <w:gridSpan w:val="5"/>
          </w:tcPr>
          <w:p>
            <w:pPr>
              <w:jc w:val="center"/>
              <w:ind w:right="80"/>
              <w:spacing w:after="0"/>
              <w:rPr>
                <w:sz w:val="20"/>
                <w:szCs w:val="20"/>
                <w:color w:val="auto"/>
              </w:rPr>
            </w:pPr>
            <w:r>
              <w:rPr>
                <w:rFonts w:ascii="Arial" w:cs="Arial" w:eastAsia="Arial" w:hAnsi="Arial"/>
                <w:sz w:val="16"/>
                <w:szCs w:val="16"/>
                <w:color w:val="auto"/>
                <w:w w:val="89"/>
              </w:rPr>
              <w:t>(Registrant’s telephone number, including area code)</w:t>
            </w:r>
          </w:p>
        </w:tc>
        <w:tc>
          <w:tcPr>
            <w:tcW w:w="3140" w:type="dxa"/>
            <w:vAlign w:val="bottom"/>
          </w:tcPr>
          <w:p>
            <w:pPr>
              <w:spacing w:after="0"/>
              <w:rPr>
                <w:sz w:val="17"/>
                <w:szCs w:val="17"/>
                <w:color w:val="auto"/>
              </w:rPr>
            </w:pPr>
          </w:p>
        </w:tc>
      </w:tr>
      <w:tr>
        <w:trPr>
          <w:trHeight w:val="239"/>
        </w:trPr>
        <w:tc>
          <w:tcPr>
            <w:tcW w:w="3200" w:type="dxa"/>
            <w:vAlign w:val="bottom"/>
          </w:tcPr>
          <w:p>
            <w:pPr>
              <w:spacing w:after="0"/>
              <w:rPr>
                <w:sz w:val="20"/>
                <w:szCs w:val="20"/>
                <w:color w:val="auto"/>
              </w:rPr>
            </w:pPr>
          </w:p>
        </w:tc>
        <w:tc>
          <w:tcPr>
            <w:tcW w:w="3740" w:type="dxa"/>
            <w:vAlign w:val="bottom"/>
            <w:gridSpan w:val="5"/>
          </w:tcPr>
          <w:p>
            <w:pPr>
              <w:jc w:val="center"/>
              <w:ind w:right="60"/>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3140" w:type="dxa"/>
            <w:vAlign w:val="bottom"/>
          </w:tcPr>
          <w:p>
            <w:pPr>
              <w:spacing w:after="0"/>
              <w:rPr>
                <w:sz w:val="20"/>
                <w:szCs w:val="20"/>
                <w:color w:val="auto"/>
              </w:rPr>
            </w:pPr>
          </w:p>
        </w:tc>
      </w:tr>
      <w:tr>
        <w:trPr>
          <w:trHeight w:val="292"/>
        </w:trPr>
        <w:tc>
          <w:tcPr>
            <w:tcW w:w="40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7"/>
              </w:rPr>
              <w:t>Title of each class</w:t>
            </w:r>
          </w:p>
        </w:tc>
        <w:tc>
          <w:tcPr>
            <w:tcW w:w="292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2"/>
              </w:rPr>
              <w:t>Trading Symbol(s)</w:t>
            </w:r>
          </w:p>
        </w:tc>
        <w:tc>
          <w:tcPr>
            <w:tcW w:w="3140" w:type="dxa"/>
            <w:vAlign w:val="bottom"/>
          </w:tcPr>
          <w:p>
            <w:pPr>
              <w:jc w:val="center"/>
              <w:ind w:right="16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9"/>
        </w:trPr>
        <w:tc>
          <w:tcPr>
            <w:tcW w:w="3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$0.0001 par value</w:t>
            </w:r>
          </w:p>
        </w:tc>
        <w:tc>
          <w:tcPr>
            <w:tcW w:w="1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tcPr>
          <w:p>
            <w:pPr>
              <w:jc w:val="center"/>
              <w:ind w:right="606"/>
              <w:spacing w:after="0"/>
              <w:rPr>
                <w:sz w:val="20"/>
                <w:szCs w:val="20"/>
                <w:color w:val="auto"/>
              </w:rPr>
            </w:pPr>
            <w:r>
              <w:rPr>
                <w:rFonts w:ascii="Arial" w:cs="Arial" w:eastAsia="Arial" w:hAnsi="Arial"/>
                <w:sz w:val="14"/>
                <w:szCs w:val="14"/>
                <w:color w:val="auto"/>
              </w:rPr>
              <w:t>SLAB</w:t>
            </w: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tcPr>
          <w:p>
            <w:pPr>
              <w:jc w:val="center"/>
              <w:ind w:right="169"/>
              <w:spacing w:after="0"/>
              <w:rPr>
                <w:sz w:val="20"/>
                <w:szCs w:val="20"/>
                <w:color w:val="auto"/>
              </w:rPr>
            </w:pPr>
            <w:r>
              <w:rPr>
                <w:rFonts w:ascii="Arial" w:cs="Arial" w:eastAsia="Arial" w:hAnsi="Arial"/>
                <w:sz w:val="14"/>
                <w:szCs w:val="14"/>
                <w:color w:val="auto"/>
                <w:w w:val="95"/>
              </w:rPr>
              <w:t>The NASDAQ Stock Market LLC</w:t>
            </w:r>
          </w:p>
        </w:tc>
      </w:tr>
      <w:tr>
        <w:trPr>
          <w:trHeight w:val="280"/>
        </w:trPr>
        <w:tc>
          <w:tcPr>
            <w:tcW w:w="10080" w:type="dxa"/>
            <w:vAlign w:val="bottom"/>
            <w:gridSpan w:val="7"/>
          </w:tcPr>
          <w:p>
            <w:pPr>
              <w:jc w:val="center"/>
              <w:spacing w:after="0"/>
              <w:rPr>
                <w:sz w:val="20"/>
                <w:szCs w:val="20"/>
                <w:color w:val="auto"/>
              </w:rPr>
            </w:pPr>
            <w:r>
              <w:rPr>
                <w:rFonts w:ascii="Arial" w:cs="Arial" w:eastAsia="Arial" w:hAnsi="Arial"/>
                <w:sz w:val="16"/>
                <w:szCs w:val="16"/>
                <w:color w:val="auto"/>
                <w:w w:val="90"/>
              </w:rPr>
              <w:t>Securities registered pursuant to Section 12(g) of the Act: None</w:t>
            </w:r>
          </w:p>
        </w:tc>
      </w:tr>
      <w:tr>
        <w:trPr>
          <w:trHeight w:val="284"/>
        </w:trPr>
        <w:tc>
          <w:tcPr>
            <w:tcW w:w="10080" w:type="dxa"/>
            <w:vAlign w:val="bottom"/>
            <w:gridSpan w:val="7"/>
          </w:tcPr>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r>
        <w:trPr>
          <w:trHeight w:val="266"/>
        </w:trPr>
        <w:tc>
          <w:tcPr>
            <w:tcW w:w="10080" w:type="dxa"/>
            <w:vAlign w:val="bottom"/>
            <w:gridSpan w:val="7"/>
          </w:tcPr>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r>
    </w:tbl>
    <w:p>
      <w:pPr>
        <w:spacing w:after="0" w:line="57" w:lineRule="exact"/>
        <w:rPr>
          <w:sz w:val="24"/>
          <w:szCs w:val="24"/>
          <w:color w:val="auto"/>
        </w:rPr>
      </w:pPr>
    </w:p>
    <w:p>
      <w:pPr>
        <w:ind w:left="320"/>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Sections 13 or 15(d) of the Securities Exchange Act of</w:t>
      </w:r>
    </w:p>
    <w:p>
      <w:pPr>
        <w:spacing w:after="0" w:line="32" w:lineRule="exact"/>
        <w:rPr>
          <w:sz w:val="24"/>
          <w:szCs w:val="24"/>
          <w:color w:val="auto"/>
        </w:rPr>
      </w:pPr>
    </w:p>
    <w:p>
      <w:pPr>
        <w:ind w:right="180"/>
        <w:spacing w:after="0" w:line="208"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5" w:lineRule="exact"/>
        <w:rPr>
          <w:sz w:val="24"/>
          <w:szCs w:val="24"/>
          <w:color w:val="auto"/>
        </w:rPr>
      </w:pPr>
    </w:p>
    <w:p>
      <w:pPr>
        <w:ind w:right="120" w:firstLine="319"/>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6" w:lineRule="exact"/>
        <w:rPr>
          <w:sz w:val="24"/>
          <w:szCs w:val="24"/>
          <w:color w:val="auto"/>
        </w:rPr>
      </w:pPr>
    </w:p>
    <w:p>
      <w:pPr>
        <w:jc w:val="both"/>
        <w:ind w:right="40" w:firstLine="319"/>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80"/>
          </w:cols>
          <w:pgMar w:left="920" w:top="659" w:right="899" w:bottom="1440" w:gutter="0" w:footer="0" w:header="0"/>
        </w:sectPr>
      </w:pPr>
    </w:p>
    <w:p>
      <w:pPr>
        <w:spacing w:after="0" w:line="33" w:lineRule="exact"/>
        <w:rPr>
          <w:sz w:val="24"/>
          <w:szCs w:val="24"/>
          <w:color w:val="auto"/>
        </w:rPr>
      </w:pPr>
    </w:p>
    <w:p>
      <w:pPr>
        <w:ind w:left="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4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both"/>
        <w:ind w:right="440" w:hanging="1"/>
        <w:spacing w:after="0" w:line="226"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71" w:lineRule="exact"/>
        <w:rPr>
          <w:sz w:val="24"/>
          <w:szCs w:val="24"/>
          <w:color w:val="auto"/>
        </w:rPr>
      </w:pPr>
    </w:p>
    <w:p>
      <w:pPr>
        <w:sectPr>
          <w:pgSz w:w="11900" w:h="16838" w:orient="portrait"/>
          <w:cols w:equalWidth="0" w:num="4">
            <w:col w:w="2000" w:space="720"/>
            <w:col w:w="1700" w:space="720"/>
            <w:col w:w="1860" w:space="720"/>
            <w:col w:w="2360"/>
          </w:cols>
          <w:pgMar w:left="920" w:top="659" w:right="899" w:bottom="1440" w:gutter="0" w:footer="0" w:header="0"/>
          <w:type w:val="continuous"/>
        </w:sectPr>
      </w:pPr>
    </w:p>
    <w:p>
      <w:pPr>
        <w:ind w:right="260" w:firstLine="319"/>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2" w:lineRule="exact"/>
        <w:rPr>
          <w:sz w:val="24"/>
          <w:szCs w:val="24"/>
          <w:color w:val="auto"/>
        </w:rPr>
      </w:pPr>
    </w:p>
    <w:p>
      <w:pPr>
        <w:ind w:right="20" w:firstLine="319"/>
        <w:spacing w:after="0" w:line="273"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as of the last business day of the registrant’s most recently completed second fiscal quarter (June 28, 2019) was approximately $4.4 billion (assuming, for this purpose, that only directors and officers are deemed affiliates).</w:t>
      </w:r>
    </w:p>
    <w:p>
      <w:pPr>
        <w:spacing w:after="0" w:line="50" w:lineRule="exact"/>
        <w:rPr>
          <w:sz w:val="24"/>
          <w:szCs w:val="24"/>
          <w:color w:val="auto"/>
        </w:rPr>
      </w:pPr>
    </w:p>
    <w:p>
      <w:pPr>
        <w:jc w:val="center"/>
        <w:ind w:right="2400"/>
        <w:spacing w:after="0"/>
        <w:rPr>
          <w:sz w:val="20"/>
          <w:szCs w:val="20"/>
          <w:color w:val="auto"/>
        </w:rPr>
      </w:pPr>
      <w:r>
        <w:rPr>
          <w:rFonts w:ascii="Arial" w:cs="Arial" w:eastAsia="Arial" w:hAnsi="Arial"/>
          <w:sz w:val="15"/>
          <w:szCs w:val="15"/>
          <w:color w:val="auto"/>
        </w:rPr>
        <w:t>There were 43,498,444 shares of the registrant's common stock issued and outstanding as of January 20, 2020.</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DOCUMENTS INCORPORATED BY REFERENCE</w:t>
      </w:r>
    </w:p>
    <w:p>
      <w:pPr>
        <w:spacing w:after="0" w:line="82"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Portions of the Proxy Statement for the registrant’s 2019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63881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1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123190</wp:posOffset>
            </wp:positionV>
            <wp:extent cx="639635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96355"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106680</wp:posOffset>
            </wp:positionV>
            <wp:extent cx="6396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96355" cy="8255"/>
                    </a:xfrm>
                    <a:prstGeom prst="rect">
                      <a:avLst/>
                    </a:prstGeom>
                    <a:noFill/>
                  </pic:spPr>
                </pic:pic>
              </a:graphicData>
            </a:graphic>
          </wp:anchor>
        </w:drawing>
      </w:r>
    </w:p>
    <w:p>
      <w:pPr>
        <w:sectPr>
          <w:pgSz w:w="11900" w:h="16838" w:orient="portrait"/>
          <w:cols w:equalWidth="0" w:num="1">
            <w:col w:w="10080"/>
          </w:cols>
          <w:pgMar w:left="920" w:top="659"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40" w:type="dxa"/>
            <w:vAlign w:val="bottom"/>
            <w:gridSpan w:val="13"/>
          </w:tcPr>
          <w:p>
            <w:pPr>
              <w:ind w:left="420"/>
              <w:spacing w:after="0"/>
              <w:rPr>
                <w:sz w:val="20"/>
                <w:szCs w:val="20"/>
                <w:color w:val="auto"/>
              </w:rPr>
            </w:pPr>
            <w:r>
              <w:rPr>
                <w:rFonts w:ascii="Arial" w:cs="Arial" w:eastAsia="Arial" w:hAnsi="Arial"/>
                <w:sz w:val="18"/>
                <w:szCs w:val="18"/>
                <w:color w:val="auto"/>
              </w:rPr>
              <w:t>Table of Contents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78"/>
        </w:trPr>
        <w:tc>
          <w:tcPr>
            <w:tcW w:w="1440" w:type="dxa"/>
            <w:vAlign w:val="bottom"/>
            <w:gridSpan w:val="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0" w:type="dxa"/>
            <w:vAlign w:val="bottom"/>
          </w:tcPr>
          <w:p>
            <w:pPr>
              <w:spacing w:after="0"/>
              <w:rPr>
                <w:sz w:val="1"/>
                <w:szCs w:val="1"/>
                <w:color w:val="auto"/>
              </w:rPr>
            </w:pPr>
          </w:p>
        </w:tc>
      </w:tr>
      <w:tr>
        <w:trPr>
          <w:trHeight w:val="166"/>
        </w:trPr>
        <w:tc>
          <w:tcPr>
            <w:tcW w:w="1440" w:type="dxa"/>
            <w:vAlign w:val="bottom"/>
            <w:gridSpan w:val="8"/>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0000EE"/>
            </w:tcBorders>
          </w:tcPr>
          <w:p>
            <w:pPr>
              <w:spacing w:after="0" w:line="20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20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6820" w:type="dxa"/>
            <w:vAlign w:val="bottom"/>
            <w:gridSpan w:val="23"/>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20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Item 1A.</w:t>
              </w:r>
            </w:hyperlink>
          </w:p>
        </w:tc>
        <w:tc>
          <w:tcPr>
            <w:tcW w:w="5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20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6560" w:type="dxa"/>
            <w:vAlign w:val="bottom"/>
            <w:gridSpan w:val="20"/>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20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1B.</w:t>
              </w:r>
            </w:hyperlink>
          </w:p>
        </w:tc>
        <w:tc>
          <w:tcPr>
            <w:tcW w:w="520" w:type="dxa"/>
            <w:vAlign w:val="bottom"/>
          </w:tcPr>
          <w:p>
            <w:pPr>
              <w:spacing w:after="0"/>
              <w:rPr>
                <w:sz w:val="17"/>
                <w:szCs w:val="17"/>
                <w:color w:val="auto"/>
              </w:rPr>
            </w:pPr>
          </w:p>
        </w:tc>
        <w:tc>
          <w:tcPr>
            <w:tcW w:w="2020" w:type="dxa"/>
            <w:vAlign w:val="bottom"/>
            <w:tcBorders>
              <w:bottom w:val="single" w:sz="8" w:color="0000EE"/>
            </w:tcBorders>
            <w:gridSpan w:val="12"/>
          </w:tcPr>
          <w:p>
            <w:pPr>
              <w:spacing w:after="0" w:line="20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Unresolved Staff Comments</w:t>
              </w:r>
            </w:hyperlink>
          </w:p>
        </w:tc>
        <w:tc>
          <w:tcPr>
            <w:tcW w:w="5440" w:type="dxa"/>
            <w:vAlign w:val="bottom"/>
            <w:gridSpan w:val="13"/>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line="206" w:lineRule="exact"/>
              <w:rPr>
                <w:rFonts w:ascii="Arial" w:cs="Arial" w:eastAsia="Arial" w:hAnsi="Arial"/>
                <w:sz w:val="18"/>
                <w:szCs w:val="18"/>
                <w:color w:val="0000EE"/>
                <w:w w:val="83"/>
              </w:rPr>
            </w:pPr>
            <w:hyperlink w:anchor="page26">
              <w:r>
                <w:rPr>
                  <w:rFonts w:ascii="Arial" w:cs="Arial" w:eastAsia="Arial" w:hAnsi="Arial"/>
                  <w:sz w:val="18"/>
                  <w:szCs w:val="18"/>
                  <w:color w:val="0000EE"/>
                  <w:w w:val="83"/>
                </w:rPr>
                <w:t>Item 2.</w:t>
              </w:r>
            </w:hyperlink>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460" w:type="dxa"/>
            <w:vAlign w:val="bottom"/>
            <w:gridSpan w:val="25"/>
          </w:tcPr>
          <w:p>
            <w:pPr>
              <w:spacing w:after="0" w:line="206"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0000EE"/>
            </w:tcBorders>
          </w:tcPr>
          <w:p>
            <w:pPr>
              <w:spacing w:after="0" w:line="206" w:lineRule="exact"/>
              <w:rPr>
                <w:rFonts w:ascii="Arial" w:cs="Arial" w:eastAsia="Arial" w:hAnsi="Arial"/>
                <w:sz w:val="18"/>
                <w:szCs w:val="18"/>
                <w:color w:val="0000EE"/>
                <w:w w:val="83"/>
              </w:rPr>
            </w:pPr>
            <w:hyperlink w:anchor="page26">
              <w:r>
                <w:rPr>
                  <w:rFonts w:ascii="Arial" w:cs="Arial" w:eastAsia="Arial" w:hAnsi="Arial"/>
                  <w:sz w:val="18"/>
                  <w:szCs w:val="18"/>
                  <w:color w:val="0000EE"/>
                  <w:w w:val="83"/>
                </w:rPr>
                <w:t>Item 3.</w:t>
              </w:r>
            </w:hyperlink>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Borders>
              <w:bottom w:val="single" w:sz="8" w:color="0000EE"/>
            </w:tcBorders>
            <w:gridSpan w:val="7"/>
          </w:tcPr>
          <w:p>
            <w:pPr>
              <w:spacing w:after="0" w:line="20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Legal Proceedings</w:t>
              </w:r>
            </w:hyperlink>
          </w:p>
        </w:tc>
        <w:tc>
          <w:tcPr>
            <w:tcW w:w="6140" w:type="dxa"/>
            <w:vAlign w:val="bottom"/>
            <w:gridSpan w:val="18"/>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20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7980" w:type="dxa"/>
            <w:vAlign w:val="bottom"/>
            <w:gridSpan w:val="26"/>
          </w:tcPr>
          <w:p>
            <w:pPr>
              <w:ind w:left="520"/>
              <w:spacing w:after="0" w:line="20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6"/>
        </w:trPr>
        <w:tc>
          <w:tcPr>
            <w:tcW w:w="820" w:type="dxa"/>
            <w:vAlign w:val="bottom"/>
            <w:gridSpan w:val="5"/>
          </w:tcPr>
          <w:p>
            <w:pPr>
              <w:spacing w:after="0" w:line="206" w:lineRule="exact"/>
              <w:rPr>
                <w:rFonts w:ascii="Arial" w:cs="Arial" w:eastAsia="Arial" w:hAnsi="Arial"/>
                <w:sz w:val="18"/>
                <w:szCs w:val="18"/>
                <w:color w:val="0000EE"/>
              </w:rPr>
            </w:pPr>
            <w:hyperlink w:anchor="page27">
              <w:r>
                <w:rPr>
                  <w:rFonts w:ascii="Arial" w:cs="Arial" w:eastAsia="Arial" w:hAnsi="Arial"/>
                  <w:sz w:val="18"/>
                  <w:szCs w:val="18"/>
                  <w:color w:val="0000EE"/>
                </w:rPr>
                <w:t>Part II</w:t>
              </w:r>
            </w:hyperlink>
          </w:p>
        </w:tc>
        <w:tc>
          <w:tcPr>
            <w:tcW w:w="500" w:type="dxa"/>
            <w:vAlign w:val="bottom"/>
            <w:tcBorders>
              <w:top w:val="single" w:sz="8" w:color="0000EE"/>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206" w:lineRule="exact"/>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7980" w:type="dxa"/>
            <w:vAlign w:val="bottom"/>
            <w:gridSpan w:val="26"/>
          </w:tcPr>
          <w:p>
            <w:pPr>
              <w:ind w:left="520"/>
              <w:spacing w:after="0" w:line="20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Market for Registrant’s Common Equity, Related Stockholder Matters and Issuer Purchases of Equity</w:t>
              </w:r>
            </w:hyperlink>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700" w:type="dxa"/>
            <w:vAlign w:val="bottom"/>
            <w:tcBorders>
              <w:top w:val="single" w:sz="8" w:color="0000EE"/>
              <w:bottom w:val="single" w:sz="8" w:color="0000EE"/>
            </w:tcBorders>
            <w:gridSpan w:val="3"/>
          </w:tcPr>
          <w:p>
            <w:pPr>
              <w:spacing w:after="0" w:line="193"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Securities</w:t>
              </w:r>
            </w:hyperlink>
          </w:p>
        </w:tc>
        <w:tc>
          <w:tcPr>
            <w:tcW w:w="6360" w:type="dxa"/>
            <w:vAlign w:val="bottom"/>
            <w:tcBorders>
              <w:top w:val="single" w:sz="8" w:color="0000EE"/>
            </w:tcBorders>
            <w:gridSpan w:val="20"/>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center"/>
              <w:spacing w:after="0" w:line="193"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line="206" w:lineRule="exact"/>
              <w:rPr>
                <w:rFonts w:ascii="Arial" w:cs="Arial" w:eastAsia="Arial" w:hAnsi="Arial"/>
                <w:sz w:val="18"/>
                <w:szCs w:val="18"/>
                <w:color w:val="0000EE"/>
                <w:w w:val="83"/>
              </w:rPr>
            </w:pPr>
            <w:hyperlink w:anchor="page28">
              <w:r>
                <w:rPr>
                  <w:rFonts w:ascii="Arial" w:cs="Arial" w:eastAsia="Arial" w:hAnsi="Arial"/>
                  <w:sz w:val="18"/>
                  <w:szCs w:val="18"/>
                  <w:color w:val="0000EE"/>
                  <w:w w:val="83"/>
                </w:rPr>
                <w:t>Item 6.</w:t>
              </w:r>
            </w:hyperlink>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460" w:type="dxa"/>
            <w:vAlign w:val="bottom"/>
            <w:gridSpan w:val="25"/>
          </w:tcPr>
          <w:p>
            <w:pPr>
              <w:spacing w:after="0" w:line="20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0000EE"/>
            </w:tcBorders>
          </w:tcPr>
          <w:p>
            <w:pPr>
              <w:spacing w:after="0" w:line="206" w:lineRule="exact"/>
              <w:rPr>
                <w:rFonts w:ascii="Arial" w:cs="Arial" w:eastAsia="Arial" w:hAnsi="Arial"/>
                <w:sz w:val="18"/>
                <w:szCs w:val="18"/>
                <w:color w:val="0000EE"/>
                <w:w w:val="83"/>
              </w:rPr>
            </w:pPr>
            <w:hyperlink w:anchor="page29">
              <w:r>
                <w:rPr>
                  <w:rFonts w:ascii="Arial" w:cs="Arial" w:eastAsia="Arial" w:hAnsi="Arial"/>
                  <w:sz w:val="18"/>
                  <w:szCs w:val="18"/>
                  <w:color w:val="0000EE"/>
                  <w:w w:val="83"/>
                </w:rPr>
                <w:t>Item 7.</w:t>
              </w:r>
            </w:hyperlink>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360" w:type="dxa"/>
            <w:vAlign w:val="bottom"/>
            <w:tcBorders>
              <w:bottom w:val="single" w:sz="8" w:color="0000EE"/>
            </w:tcBorders>
            <w:gridSpan w:val="21"/>
          </w:tcPr>
          <w:p>
            <w:pPr>
              <w:spacing w:after="0" w:line="20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Management’s Discussion and Analysis of Financial Condition and Results of Operations</w:t>
              </w:r>
            </w:hyperlink>
          </w:p>
        </w:tc>
        <w:tc>
          <w:tcPr>
            <w:tcW w:w="1100" w:type="dxa"/>
            <w:vAlign w:val="bottom"/>
            <w:gridSpan w:val="4"/>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20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7A.</w:t>
              </w:r>
            </w:hyperlink>
          </w:p>
        </w:tc>
        <w:tc>
          <w:tcPr>
            <w:tcW w:w="520" w:type="dxa"/>
            <w:vAlign w:val="bottom"/>
          </w:tcPr>
          <w:p>
            <w:pPr>
              <w:spacing w:after="0"/>
              <w:rPr>
                <w:sz w:val="17"/>
                <w:szCs w:val="17"/>
                <w:color w:val="auto"/>
              </w:rPr>
            </w:pPr>
          </w:p>
        </w:tc>
        <w:tc>
          <w:tcPr>
            <w:tcW w:w="7460" w:type="dxa"/>
            <w:vAlign w:val="bottom"/>
            <w:gridSpan w:val="25"/>
          </w:tcPr>
          <w:p>
            <w:pPr>
              <w:spacing w:after="0" w:line="20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206" w:lineRule="exact"/>
              <w:rPr>
                <w:rFonts w:ascii="Arial" w:cs="Arial" w:eastAsia="Arial" w:hAnsi="Arial"/>
                <w:sz w:val="18"/>
                <w:szCs w:val="18"/>
                <w:color w:val="0000EE"/>
                <w:w w:val="83"/>
              </w:rPr>
            </w:pPr>
            <w:hyperlink w:anchor="page39">
              <w:r>
                <w:rPr>
                  <w:rFonts w:ascii="Arial" w:cs="Arial" w:eastAsia="Arial" w:hAnsi="Arial"/>
                  <w:sz w:val="18"/>
                  <w:szCs w:val="18"/>
                  <w:color w:val="0000EE"/>
                  <w:w w:val="83"/>
                </w:rPr>
                <w:t>Item 8.</w:t>
              </w:r>
            </w:hyperlink>
          </w:p>
        </w:tc>
        <w:tc>
          <w:tcPr>
            <w:tcW w:w="120" w:type="dxa"/>
            <w:vAlign w:val="bottom"/>
            <w:tcBorders>
              <w:top w:val="single" w:sz="8" w:color="0000EE"/>
            </w:tcBorders>
            <w:gridSpan w:val="2"/>
          </w:tcPr>
          <w:p>
            <w:pPr>
              <w:spacing w:after="0"/>
              <w:rPr>
                <w:sz w:val="17"/>
                <w:szCs w:val="17"/>
                <w:color w:val="auto"/>
              </w:rPr>
            </w:pPr>
          </w:p>
        </w:tc>
        <w:tc>
          <w:tcPr>
            <w:tcW w:w="5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16"/>
          </w:tcPr>
          <w:p>
            <w:pPr>
              <w:spacing w:after="0" w:line="20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Financial Statements and Supplementary Data</w:t>
              </w:r>
            </w:hyperlink>
          </w:p>
        </w:tc>
        <w:tc>
          <w:tcPr>
            <w:tcW w:w="960" w:type="dxa"/>
            <w:vAlign w:val="bottom"/>
            <w:tcBorders>
              <w:top w:val="single" w:sz="8" w:color="0000EE"/>
            </w:tcBorders>
            <w:gridSpan w:val="3"/>
          </w:tcPr>
          <w:p>
            <w:pPr>
              <w:spacing w:after="0"/>
              <w:rPr>
                <w:sz w:val="17"/>
                <w:szCs w:val="17"/>
                <w:color w:val="auto"/>
              </w:rPr>
            </w:pPr>
          </w:p>
        </w:tc>
        <w:tc>
          <w:tcPr>
            <w:tcW w:w="3220" w:type="dxa"/>
            <w:vAlign w:val="bottom"/>
            <w:gridSpan w:val="6"/>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Borders>
              <w:bottom w:val="single" w:sz="8" w:color="0000EE"/>
            </w:tcBorders>
          </w:tcPr>
          <w:p>
            <w:pPr>
              <w:spacing w:after="0" w:line="206" w:lineRule="exact"/>
              <w:rPr>
                <w:rFonts w:ascii="Arial" w:cs="Arial" w:eastAsia="Arial" w:hAnsi="Arial"/>
                <w:sz w:val="18"/>
                <w:szCs w:val="18"/>
                <w:color w:val="0000EE"/>
                <w:w w:val="83"/>
              </w:rPr>
            </w:pPr>
            <w:hyperlink w:anchor="page39">
              <w:r>
                <w:rPr>
                  <w:rFonts w:ascii="Arial" w:cs="Arial" w:eastAsia="Arial" w:hAnsi="Arial"/>
                  <w:sz w:val="18"/>
                  <w:szCs w:val="18"/>
                  <w:color w:val="0000EE"/>
                  <w:w w:val="83"/>
                </w:rPr>
                <w:t>Item 9.</w:t>
              </w:r>
            </w:hyperlink>
          </w:p>
        </w:tc>
        <w:tc>
          <w:tcPr>
            <w:tcW w:w="1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380" w:type="dxa"/>
            <w:vAlign w:val="bottom"/>
            <w:tcBorders>
              <w:bottom w:val="single" w:sz="8" w:color="0000EE"/>
            </w:tcBorders>
            <w:gridSpan w:val="22"/>
          </w:tcPr>
          <w:p>
            <w:pPr>
              <w:spacing w:after="0" w:line="20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Changes in and Disagreements with Accountants on Accounting and Financial Disclosure</w:t>
              </w:r>
            </w:hyperlink>
          </w:p>
        </w:tc>
        <w:tc>
          <w:tcPr>
            <w:tcW w:w="1080" w:type="dxa"/>
            <w:vAlign w:val="bottom"/>
            <w:gridSpan w:val="3"/>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spacing w:after="0" w:line="20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Item 9A.</w:t>
              </w:r>
            </w:hyperlink>
          </w:p>
        </w:tc>
        <w:tc>
          <w:tcPr>
            <w:tcW w:w="520" w:type="dxa"/>
            <w:vAlign w:val="bottom"/>
          </w:tcPr>
          <w:p>
            <w:pPr>
              <w:spacing w:after="0"/>
              <w:rPr>
                <w:sz w:val="17"/>
                <w:szCs w:val="17"/>
                <w:color w:val="auto"/>
              </w:rPr>
            </w:pPr>
          </w:p>
        </w:tc>
        <w:tc>
          <w:tcPr>
            <w:tcW w:w="7460" w:type="dxa"/>
            <w:vAlign w:val="bottom"/>
            <w:gridSpan w:val="25"/>
          </w:tcPr>
          <w:p>
            <w:pPr>
              <w:spacing w:after="0" w:line="20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20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9B.</w:t>
              </w:r>
            </w:hyperlink>
          </w:p>
        </w:tc>
        <w:tc>
          <w:tcPr>
            <w:tcW w:w="520" w:type="dxa"/>
            <w:vAlign w:val="bottom"/>
          </w:tcPr>
          <w:p>
            <w:pPr>
              <w:spacing w:after="0"/>
              <w:rPr>
                <w:sz w:val="17"/>
                <w:szCs w:val="17"/>
                <w:color w:val="auto"/>
              </w:rPr>
            </w:pPr>
          </w:p>
        </w:tc>
        <w:tc>
          <w:tcPr>
            <w:tcW w:w="1740" w:type="dxa"/>
            <w:vAlign w:val="bottom"/>
            <w:tcBorders>
              <w:top w:val="single" w:sz="8" w:color="0000EE"/>
            </w:tcBorders>
            <w:gridSpan w:val="10"/>
          </w:tcPr>
          <w:p>
            <w:pPr>
              <w:spacing w:after="0" w:line="20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5720" w:type="dxa"/>
            <w:vAlign w:val="bottom"/>
            <w:gridSpan w:val="15"/>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06"/>
        </w:trPr>
        <w:tc>
          <w:tcPr>
            <w:tcW w:w="820" w:type="dxa"/>
            <w:vAlign w:val="bottom"/>
            <w:gridSpan w:val="5"/>
          </w:tcPr>
          <w:p>
            <w:pPr>
              <w:spacing w:after="0" w:line="206" w:lineRule="exact"/>
              <w:rPr>
                <w:rFonts w:ascii="Arial" w:cs="Arial" w:eastAsia="Arial" w:hAnsi="Arial"/>
                <w:sz w:val="18"/>
                <w:szCs w:val="18"/>
                <w:color w:val="0000EE"/>
              </w:rPr>
            </w:pPr>
            <w:hyperlink w:anchor="page41">
              <w:r>
                <w:rPr>
                  <w:rFonts w:ascii="Arial" w:cs="Arial" w:eastAsia="Arial" w:hAnsi="Arial"/>
                  <w:sz w:val="18"/>
                  <w:szCs w:val="18"/>
                  <w:color w:val="0000EE"/>
                </w:rPr>
                <w:t>Part III</w:t>
              </w:r>
            </w:hyperlink>
          </w:p>
        </w:tc>
        <w:tc>
          <w:tcPr>
            <w:tcW w:w="620" w:type="dxa"/>
            <w:vAlign w:val="bottom"/>
            <w:tcBorders>
              <w:top w:val="single" w:sz="8" w:color="0000EE"/>
            </w:tcBorders>
            <w:gridSpan w:val="3"/>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20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Item 10.</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20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Directors, Executive Officers and Corporate Governance</w:t>
              </w:r>
            </w:hyperlink>
          </w:p>
        </w:tc>
        <w:tc>
          <w:tcPr>
            <w:tcW w:w="3420" w:type="dxa"/>
            <w:vAlign w:val="bottom"/>
            <w:gridSpan w:val="7"/>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20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Item 11.</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20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Executive Compensation</w:t>
              </w:r>
            </w:hyperlink>
          </w:p>
        </w:tc>
        <w:tc>
          <w:tcPr>
            <w:tcW w:w="5680" w:type="dxa"/>
            <w:vAlign w:val="bottom"/>
            <w:gridSpan w:val="14"/>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2"/>
          </w:tcPr>
          <w:p>
            <w:pPr>
              <w:spacing w:after="0" w:line="20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Item 12.</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60" w:type="dxa"/>
            <w:vAlign w:val="bottom"/>
            <w:gridSpan w:val="25"/>
          </w:tcPr>
          <w:p>
            <w:pPr>
              <w:spacing w:after="0" w:line="20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Security Ownership of Certain Beneficial Owners and Management and Related Stockholder Matters</w:t>
              </w:r>
            </w:hyperlink>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20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Item 13.</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180" w:type="dxa"/>
            <w:vAlign w:val="bottom"/>
            <w:tcBorders>
              <w:top w:val="single" w:sz="8" w:color="0000EE"/>
            </w:tcBorders>
            <w:gridSpan w:val="23"/>
          </w:tcPr>
          <w:p>
            <w:pPr>
              <w:spacing w:after="0" w:line="206" w:lineRule="exact"/>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280" w:type="dxa"/>
            <w:vAlign w:val="bottom"/>
            <w:gridSpan w:val="2"/>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20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Item 14.</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360" w:type="dxa"/>
            <w:vAlign w:val="bottom"/>
            <w:tcBorders>
              <w:top w:val="single" w:sz="8" w:color="0000EE"/>
            </w:tcBorders>
            <w:gridSpan w:val="20"/>
          </w:tcPr>
          <w:p>
            <w:pPr>
              <w:spacing w:after="0" w:line="206" w:lineRule="exact"/>
              <w:rPr>
                <w:rFonts w:ascii="Arial" w:cs="Arial" w:eastAsia="Arial" w:hAnsi="Arial"/>
                <w:sz w:val="18"/>
                <w:szCs w:val="18"/>
                <w:color w:val="0000EE"/>
              </w:rPr>
            </w:pPr>
            <w:hyperlink w:anchor="page41">
              <w:r>
                <w:rPr>
                  <w:rFonts w:ascii="Arial" w:cs="Arial" w:eastAsia="Arial" w:hAnsi="Arial"/>
                  <w:sz w:val="18"/>
                  <w:szCs w:val="18"/>
                  <w:color w:val="0000EE"/>
                </w:rPr>
                <w:t>Principal Accounting Fees and Services</w:t>
              </w:r>
            </w:hyperlink>
          </w:p>
        </w:tc>
        <w:tc>
          <w:tcPr>
            <w:tcW w:w="2100" w:type="dxa"/>
            <w:vAlign w:val="bottom"/>
            <w:gridSpan w:val="5"/>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6"/>
        </w:trPr>
        <w:tc>
          <w:tcPr>
            <w:tcW w:w="820" w:type="dxa"/>
            <w:vAlign w:val="bottom"/>
            <w:gridSpan w:val="5"/>
          </w:tcPr>
          <w:p>
            <w:pPr>
              <w:spacing w:after="0" w:line="206" w:lineRule="exact"/>
              <w:rPr>
                <w:rFonts w:ascii="Arial" w:cs="Arial" w:eastAsia="Arial" w:hAnsi="Arial"/>
                <w:sz w:val="18"/>
                <w:szCs w:val="18"/>
                <w:color w:val="0000EE"/>
              </w:rPr>
            </w:pPr>
            <w:hyperlink w:anchor="page42">
              <w:r>
                <w:rPr>
                  <w:rFonts w:ascii="Arial" w:cs="Arial" w:eastAsia="Arial" w:hAnsi="Arial"/>
                  <w:sz w:val="18"/>
                  <w:szCs w:val="18"/>
                  <w:color w:val="0000EE"/>
                </w:rPr>
                <w:t>Part IV</w:t>
              </w:r>
            </w:hyperlink>
          </w:p>
        </w:tc>
        <w:tc>
          <w:tcPr>
            <w:tcW w:w="6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20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Item 15.</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20" w:type="dxa"/>
            <w:vAlign w:val="bottom"/>
            <w:tcBorders>
              <w:bottom w:val="single" w:sz="8" w:color="0000EE"/>
            </w:tcBorders>
            <w:gridSpan w:val="15"/>
          </w:tcPr>
          <w:p>
            <w:pPr>
              <w:spacing w:after="0" w:line="20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Exhibits and Financial Statement Schedules</w:t>
              </w:r>
            </w:hyperlink>
          </w:p>
        </w:tc>
        <w:tc>
          <w:tcPr>
            <w:tcW w:w="4340" w:type="dxa"/>
            <w:vAlign w:val="bottom"/>
            <w:gridSpan w:val="10"/>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2"/>
          </w:tcPr>
          <w:p>
            <w:pPr>
              <w:spacing w:after="0" w:line="206" w:lineRule="exact"/>
              <w:rPr>
                <w:rFonts w:ascii="Arial" w:cs="Arial" w:eastAsia="Arial" w:hAnsi="Arial"/>
                <w:sz w:val="18"/>
                <w:szCs w:val="18"/>
                <w:color w:val="0000EE"/>
                <w:w w:val="86"/>
              </w:rPr>
            </w:pPr>
            <w:hyperlink w:anchor="page44">
              <w:r>
                <w:rPr>
                  <w:rFonts w:ascii="Arial" w:cs="Arial" w:eastAsia="Arial" w:hAnsi="Arial"/>
                  <w:sz w:val="18"/>
                  <w:szCs w:val="18"/>
                  <w:color w:val="0000EE"/>
                  <w:w w:val="86"/>
                </w:rPr>
                <w:t>Item 16.</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60" w:type="dxa"/>
            <w:vAlign w:val="bottom"/>
            <w:gridSpan w:val="25"/>
          </w:tcPr>
          <w:p>
            <w:pPr>
              <w:spacing w:after="0" w:line="206" w:lineRule="exact"/>
              <w:rPr>
                <w:rFonts w:ascii="Arial" w:cs="Arial" w:eastAsia="Arial" w:hAnsi="Arial"/>
                <w:sz w:val="18"/>
                <w:szCs w:val="18"/>
                <w:color w:val="0000EE"/>
              </w:rPr>
            </w:pPr>
            <w:hyperlink w:anchor="page44">
              <w:r>
                <w:rPr>
                  <w:rFonts w:ascii="Arial" w:cs="Arial" w:eastAsia="Arial" w:hAnsi="Arial"/>
                  <w:sz w:val="18"/>
                  <w:szCs w:val="18"/>
                  <w:color w:val="0000EE"/>
                </w:rPr>
                <w:t>Form 10-K Summary</w:t>
              </w:r>
            </w:hyperlink>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Cautionary Statement</w:t>
      </w:r>
    </w:p>
    <w:p>
      <w:pPr>
        <w:spacing w:after="0" w:line="218" w:lineRule="exact"/>
        <w:rPr>
          <w:sz w:val="20"/>
          <w:szCs w:val="20"/>
          <w:color w:val="auto"/>
        </w:rPr>
      </w:pPr>
    </w:p>
    <w:p>
      <w:pPr>
        <w:ind w:right="20" w:firstLine="319"/>
        <w:spacing w:after="0" w:line="283" w:lineRule="auto"/>
        <w:rPr>
          <w:sz w:val="20"/>
          <w:szCs w:val="20"/>
          <w:color w:val="auto"/>
        </w:rPr>
      </w:pPr>
      <w:r>
        <w:rPr>
          <w:rFonts w:ascii="Arial" w:cs="Arial" w:eastAsia="Arial" w:hAnsi="Arial"/>
          <w:sz w:val="16"/>
          <w:szCs w:val="16"/>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4" w:lineRule="exact"/>
        <w:rPr>
          <w:sz w:val="20"/>
          <w:szCs w:val="20"/>
          <w:color w:val="auto"/>
        </w:rPr>
      </w:pPr>
    </w:p>
    <w:p>
      <w:pPr>
        <w:ind w:firstLine="319"/>
        <w:spacing w:after="0" w:line="303" w:lineRule="auto"/>
        <w:rPr>
          <w:sz w:val="20"/>
          <w:szCs w:val="20"/>
          <w:color w:val="auto"/>
        </w:rPr>
      </w:pPr>
      <w:r>
        <w:rPr>
          <w:rFonts w:ascii="Arial" w:cs="Arial" w:eastAsia="Arial" w:hAnsi="Arial"/>
          <w:sz w:val="16"/>
          <w:szCs w:val="16"/>
          <w:color w:val="auto"/>
        </w:rPr>
        <w:t>Silicon Laboratories Inc. is a leading provider of silicon, software and solutions for a smarter, more connected world. Our award-winning technologies are shaping the future of the Internet of Things (IoT), Internet infrastructure, industrial automation, consumer and automotive markets. Our world-class engineering team creates products focused on performance, energy savings, connectivity and simplicity.</w:t>
      </w:r>
    </w:p>
    <w:p>
      <w:pPr>
        <w:spacing w:after="0" w:line="154" w:lineRule="exact"/>
        <w:rPr>
          <w:sz w:val="20"/>
          <w:szCs w:val="20"/>
          <w:color w:val="auto"/>
        </w:rPr>
      </w:pPr>
    </w:p>
    <w:p>
      <w:pPr>
        <w:ind w:right="80" w:firstLine="319"/>
        <w:spacing w:after="0" w:line="290" w:lineRule="auto"/>
        <w:rPr>
          <w:sz w:val="20"/>
          <w:szCs w:val="20"/>
          <w:color w:val="auto"/>
        </w:rPr>
      </w:pPr>
      <w:r>
        <w:rPr>
          <w:rFonts w:ascii="Arial" w:cs="Arial" w:eastAsia="Arial" w:hAnsi="Arial"/>
          <w:sz w:val="16"/>
          <w:szCs w:val="16"/>
          <w:color w:val="auto"/>
        </w:rPr>
        <w:t>Our primary semiconductor products are mixed-signal integrated circuits (ICs), which are electronic components that convert real-world analog signals into digital signals that electronic products can process. Our mixed-signal ICs leverage standard complementary metal oxide semiconductor (CMOS), a low cost, widely available process technology. Use of CMOS technology enables smaller, more cost-effective and energy-efficient solutions. Our expertise in analog-intensive, mixed-signal IC design in CMOS allows us to develop new and innovative products that are highly integrated, simplifying our customers’ designs and improving their time-to-market.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4" w:lineRule="exact"/>
        <w:rPr>
          <w:sz w:val="20"/>
          <w:szCs w:val="20"/>
          <w:color w:val="auto"/>
        </w:rPr>
      </w:pPr>
    </w:p>
    <w:p>
      <w:pPr>
        <w:ind w:right="80" w:firstLine="319"/>
        <w:spacing w:after="0" w:line="290" w:lineRule="auto"/>
        <w:rPr>
          <w:sz w:val="20"/>
          <w:szCs w:val="20"/>
          <w:color w:val="auto"/>
        </w:rPr>
      </w:pPr>
      <w:r>
        <w:rPr>
          <w:rFonts w:ascii="Arial" w:cs="Arial" w:eastAsia="Arial" w:hAnsi="Arial"/>
          <w:sz w:val="16"/>
          <w:szCs w:val="16"/>
          <w:color w:val="auto"/>
        </w:rPr>
        <w:t>The pervasiveness of connectivity and mobile devices is driving semiconductor consumption. Intelligence is being added to electronic systems to enable Internet connectivity, power efficiency, monitoring our health, safety and consumption of precious resources and an improved user experience. This in turn is increasing the demand for bandwidth, requiring more infrastructure to support higher performance networks. The nearly ubiquitous availability of Internet access and the increasing intelligence of electronic devices and mobility are enabling what is called the Internet of Things, a term that describes the exponential increase in IP-enabled devices connected to the Internet.</w:t>
      </w:r>
    </w:p>
    <w:p>
      <w:pPr>
        <w:spacing w:after="0" w:line="164" w:lineRule="exact"/>
        <w:rPr>
          <w:sz w:val="20"/>
          <w:szCs w:val="20"/>
          <w:color w:val="auto"/>
        </w:rPr>
      </w:pPr>
    </w:p>
    <w:p>
      <w:pPr>
        <w:ind w:right="20" w:firstLine="319"/>
        <w:spacing w:after="0" w:line="287" w:lineRule="auto"/>
        <w:rPr>
          <w:sz w:val="20"/>
          <w:szCs w:val="20"/>
          <w:color w:val="auto"/>
        </w:rPr>
      </w:pPr>
      <w:r>
        <w:rPr>
          <w:rFonts w:ascii="Arial" w:cs="Arial" w:eastAsia="Arial" w:hAnsi="Arial"/>
          <w:sz w:val="16"/>
          <w:szCs w:val="16"/>
          <w:color w:val="auto"/>
        </w:rPr>
        <w:t>These trends require more and more interaction between the analog world we live in and the digital world of computing, which is driving the need for analog-intensive, mixed-signal circuits in a wide range of electronic products. Traditional mixed-signal designs relied upon solutions built with numerous, complex discrete analog and digital components. While these traditional designs provide the required functionality, they are often inefficient and inadequate for use in markets where size, cost, power consumption and performance are increasingly important product differentiators. To improve their competitive position, electronics manufacturers must reduce the cost and complexity of their systems and enable new features or functionality to differentiate themselves from their competitors.</w:t>
      </w:r>
    </w:p>
    <w:p>
      <w:pPr>
        <w:spacing w:after="0" w:line="168" w:lineRule="exact"/>
        <w:rPr>
          <w:sz w:val="20"/>
          <w:szCs w:val="20"/>
          <w:color w:val="auto"/>
        </w:rPr>
      </w:pPr>
    </w:p>
    <w:p>
      <w:pPr>
        <w:ind w:right="180" w:firstLine="319"/>
        <w:spacing w:after="0" w:line="249" w:lineRule="auto"/>
        <w:rPr>
          <w:sz w:val="20"/>
          <w:szCs w:val="20"/>
          <w:color w:val="auto"/>
        </w:rPr>
      </w:pPr>
      <w:r>
        <w:rPr>
          <w:rFonts w:ascii="Arial" w:cs="Arial" w:eastAsia="Arial" w:hAnsi="Arial"/>
          <w:sz w:val="18"/>
          <w:szCs w:val="18"/>
          <w:color w:val="auto"/>
        </w:rPr>
        <w:t>Simultaneously, these manufacturers face accelerating time-to-market demands and must rapidly adapt to evolving industry standards and new technologies. Because analog-intensive, mixed-signal design expertise is difficult to find, these manufacturers increasingly are turning to third parties, like us, to provide advanced mixed-signal solutions. Mixed-signal design requires specific expertise and relies on creative, experienced engineers to deliver solutions that optimize speed, power and performance, despite the noisy digital environment, and within the constraints of standard manufacturing processes. The development of this design expertise typically requires years of practical analog design experience under the guidance of a senior engineer, and engineers with the required level of skill and expertise are in short supply.</w:t>
      </w:r>
    </w:p>
    <w:p>
      <w:pPr>
        <w:spacing w:after="0" w:line="198" w:lineRule="exact"/>
        <w:rPr>
          <w:sz w:val="20"/>
          <w:szCs w:val="20"/>
          <w:color w:val="auto"/>
        </w:rPr>
      </w:pPr>
    </w:p>
    <w:p>
      <w:pPr>
        <w:ind w:right="140" w:firstLine="319"/>
        <w:spacing w:after="0" w:line="256" w:lineRule="auto"/>
        <w:rPr>
          <w:sz w:val="20"/>
          <w:szCs w:val="20"/>
          <w:color w:val="auto"/>
        </w:rPr>
      </w:pPr>
      <w:r>
        <w:rPr>
          <w:rFonts w:ascii="Arial" w:cs="Arial" w:eastAsia="Arial" w:hAnsi="Arial"/>
          <w:sz w:val="18"/>
          <w:szCs w:val="18"/>
          <w:color w:val="auto"/>
        </w:rPr>
        <w:t>Many IC solution providers lack sufficient analog expertise to develop compelling mixed-signal products. As a result, manufacturers of electronic devices value providers that can supply them with mixed-signal solutions offering greater functionality, smaller size and lower power requirements at a reduced cost and shorter time-to-market.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4" w:lineRule="exact"/>
        <w:rPr>
          <w:sz w:val="20"/>
          <w:szCs w:val="20"/>
          <w:color w:val="auto"/>
        </w:rPr>
      </w:pPr>
    </w:p>
    <w:p>
      <w:pPr>
        <w:ind w:firstLine="319"/>
        <w:spacing w:after="0" w:line="272" w:lineRule="auto"/>
        <w:rPr>
          <w:sz w:val="20"/>
          <w:szCs w:val="20"/>
          <w:color w:val="auto"/>
        </w:rPr>
      </w:pPr>
      <w:r>
        <w:rPr>
          <w:rFonts w:ascii="Arial" w:cs="Arial" w:eastAsia="Arial" w:hAnsi="Arial"/>
          <w:sz w:val="17"/>
          <w:szCs w:val="17"/>
          <w:color w:val="auto"/>
        </w:rPr>
        <w:t>We provide analog-intensive, mixed-signal solutions for use in a variety of electronic products in a broad range of applications for the IoT including connected home and security, industrial automation and control, smart metering, smart lighting, commercial building automation, consumer electronics, asset tracking and medical instrumentation. We are a supplier of wireless connectivity solutions for the IoT based on Zigbee®, sub-GHz proprietary technologies, Bluetooth®, Z-Wave®, Thread, and Wi-Fi®.</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firstLine="319"/>
        <w:spacing w:after="0" w:line="268" w:lineRule="auto"/>
        <w:rPr>
          <w:sz w:val="20"/>
          <w:szCs w:val="20"/>
          <w:color w:val="auto"/>
        </w:rPr>
      </w:pPr>
      <w:r>
        <w:rPr>
          <w:rFonts w:ascii="Arial" w:cs="Arial" w:eastAsia="Arial" w:hAnsi="Arial"/>
          <w:sz w:val="17"/>
          <w:szCs w:val="17"/>
          <w:color w:val="auto"/>
        </w:rPr>
        <w:t>We provide a wide range of timing and isolation products for infrastructure applications including high-performance clocks and oscillators for networking equipment, data centers, servers and storage, wireless base stations, and automotive applications, as well as digital isolators and current sensors for industrial control and automation, power supplies, electric vehicles and battery management, solar inverters and motor control. We also provide broadcast products for applications such as TVs, set-top boxes and automotive infotainment systems, and access products including subscriber line interface circuits for voice over IP (VoIP), embedded modems, and Power over Ethernet (PoE) power source equipment and powered device ICs.</w:t>
      </w:r>
    </w:p>
    <w:p>
      <w:pPr>
        <w:spacing w:after="0" w:line="179" w:lineRule="exact"/>
        <w:rPr>
          <w:sz w:val="20"/>
          <w:szCs w:val="20"/>
          <w:color w:val="auto"/>
        </w:rPr>
      </w:pPr>
    </w:p>
    <w:p>
      <w:pPr>
        <w:ind w:right="200" w:firstLine="319"/>
        <w:spacing w:after="0" w:line="256" w:lineRule="auto"/>
        <w:rPr>
          <w:sz w:val="20"/>
          <w:szCs w:val="20"/>
          <w:color w:val="auto"/>
        </w:rPr>
      </w:pPr>
      <w:r>
        <w:rPr>
          <w:rFonts w:ascii="Arial" w:cs="Arial" w:eastAsia="Arial" w:hAnsi="Arial"/>
          <w:sz w:val="18"/>
          <w:szCs w:val="18"/>
          <w:color w:val="auto"/>
        </w:rPr>
        <w:t>Our products integrate complex mixed-signal functions that are frequently performed by numerous discrete components in competing products into a single chip, chipset or system-on-chip (SoC). By doing so, we create products that, when compared to many competing products, offer the following benefits:</w:t>
      </w:r>
    </w:p>
    <w:p>
      <w:pPr>
        <w:spacing w:after="0" w:line="188" w:lineRule="exact"/>
        <w:rPr>
          <w:sz w:val="20"/>
          <w:szCs w:val="20"/>
          <w:color w:val="auto"/>
        </w:rPr>
      </w:pPr>
    </w:p>
    <w:p>
      <w:pPr>
        <w:ind w:left="660" w:hanging="3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 less printed circuit board (PCB) space;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use of external components lowering the system cost and simplifying design;</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 superior performance improving our customers’ end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increased reliability and manufacturability, improving customer yields; and/or</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system power requirements enabling smaller form factors and/or longer battery life.</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group our products into the following categories:</w:t>
      </w:r>
    </w:p>
    <w:p>
      <w:pPr>
        <w:spacing w:after="0" w:line="218" w:lineRule="exact"/>
        <w:rPr>
          <w:sz w:val="20"/>
          <w:szCs w:val="20"/>
          <w:color w:val="auto"/>
        </w:rPr>
      </w:pPr>
    </w:p>
    <w:p>
      <w:pPr>
        <w:ind w:left="660" w:hanging="3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Internet of Things products, which include wireless, microcontroller (MCU) and sensor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Broadcast products, which include broadcast consumer and automotive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Infrastructure products, which include timing products (clocks and oscillators), and isolation devices;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Access products, which include Voice over IP (VoIP) products, embedded modems and Power over Ethernet (PoE) devices.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00"/>
          </w:cols>
          <w:pgMar w:left="920" w:top="513" w:right="9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820" w:firstLine="319"/>
        <w:spacing w:after="0" w:line="266" w:lineRule="auto"/>
        <w:rPr>
          <w:sz w:val="20"/>
          <w:szCs w:val="20"/>
          <w:color w:val="auto"/>
        </w:rPr>
      </w:pPr>
      <w:r>
        <w:rPr>
          <w:rFonts w:ascii="Arial" w:cs="Arial" w:eastAsia="Arial" w:hAnsi="Arial"/>
          <w:sz w:val="18"/>
          <w:szCs w:val="18"/>
          <w:color w:val="auto"/>
        </w:rPr>
        <w:t>The following table summarizes the diverse product areas and applications for the various products that we have introduced to customers: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Product Areas and Description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60" w:type="dxa"/>
            <w:vAlign w:val="bottom"/>
          </w:tcPr>
          <w:p>
            <w:pPr>
              <w:ind w:left="1660"/>
              <w:spacing w:after="0"/>
              <w:rPr>
                <w:sz w:val="20"/>
                <w:szCs w:val="20"/>
                <w:color w:val="auto"/>
              </w:rPr>
            </w:pPr>
            <w:r>
              <w:rPr>
                <w:rFonts w:ascii="Arial" w:cs="Arial" w:eastAsia="Arial" w:hAnsi="Arial"/>
                <w:sz w:val="14"/>
                <w:szCs w:val="14"/>
                <w:b w:val="1"/>
                <w:bCs w:val="1"/>
                <w:color w:val="auto"/>
              </w:rPr>
              <w:t>Applications</w:t>
            </w:r>
          </w:p>
        </w:tc>
        <w:tc>
          <w:tcPr>
            <w:tcW w:w="20" w:type="dxa"/>
            <w:vAlign w:val="bottom"/>
          </w:tcPr>
          <w:p>
            <w:pPr>
              <w:spacing w:after="0"/>
              <w:rPr>
                <w:sz w:val="14"/>
                <w:szCs w:val="14"/>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gridSpan w:val="2"/>
          </w:tcPr>
          <w:p>
            <w:pPr>
              <w:spacing w:after="0" w:line="166" w:lineRule="exact"/>
              <w:rPr>
                <w:sz w:val="20"/>
                <w:szCs w:val="20"/>
                <w:color w:val="auto"/>
              </w:rPr>
            </w:pPr>
            <w:r>
              <w:rPr>
                <w:rFonts w:ascii="Arial" w:cs="Arial" w:eastAsia="Arial" w:hAnsi="Arial"/>
                <w:sz w:val="18"/>
                <w:szCs w:val="18"/>
                <w:b w:val="1"/>
                <w:bCs w:val="1"/>
                <w:color w:val="auto"/>
                <w:w w:val="87"/>
              </w:rPr>
              <w:t>Internet of Things Products</w:t>
            </w:r>
          </w:p>
        </w:tc>
        <w:tc>
          <w:tcPr>
            <w:tcW w:w="34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r>
      <w:tr>
        <w:trPr>
          <w:trHeight w:val="433"/>
        </w:trPr>
        <w:tc>
          <w:tcPr>
            <w:tcW w:w="5500" w:type="dxa"/>
            <w:vAlign w:val="bottom"/>
            <w:gridSpan w:val="4"/>
          </w:tcPr>
          <w:p>
            <w:pPr>
              <w:spacing w:after="0"/>
              <w:rPr>
                <w:sz w:val="20"/>
                <w:szCs w:val="20"/>
                <w:color w:val="auto"/>
              </w:rPr>
            </w:pPr>
            <w:r>
              <w:rPr>
                <w:rFonts w:ascii="Arial" w:cs="Arial" w:eastAsia="Arial" w:hAnsi="Arial"/>
                <w:sz w:val="18"/>
                <w:szCs w:val="18"/>
                <w:i w:val="1"/>
                <w:iCs w:val="1"/>
                <w:color w:val="auto"/>
              </w:rPr>
              <w:t>Microcontrollers and Wireless Products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9"/>
              </w:rPr>
              <w:t>We offer a family of products ideally suited to ultra-low power IoT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Home automation /security systems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8"/>
              </w:rPr>
              <w:t>embedded systems that include energy friendly 8-bit mixed-signal</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Industrial automation and control</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6"/>
              </w:rPr>
              <w:t>microcontrollers, ultra-low power 32-bit microcontroller and wireless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Smart metering</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4"/>
              </w:rPr>
              <w:t>MCU connectivity solutions using the ARM® Cortex-M0+/M3/M4 and</w:t>
            </w:r>
          </w:p>
        </w:tc>
        <w:tc>
          <w:tcPr>
            <w:tcW w:w="4560" w:type="dxa"/>
            <w:vAlign w:val="bottom"/>
            <w:gridSpan w:val="3"/>
          </w:tcPr>
          <w:p>
            <w:pPr>
              <w:ind w:left="300"/>
              <w:spacing w:after="0"/>
              <w:rPr>
                <w:sz w:val="20"/>
                <w:szCs w:val="20"/>
                <w:color w:val="auto"/>
              </w:rPr>
            </w:pPr>
            <w:r>
              <w:rPr>
                <w:rFonts w:ascii="Arial" w:cs="Arial" w:eastAsia="Arial" w:hAnsi="Arial"/>
                <w:sz w:val="18"/>
                <w:szCs w:val="18"/>
                <w:color w:val="auto"/>
              </w:rPr>
              <w:t>- Smart lighting</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newer M33 cores. Single and multi-protocol SoC devices and modules</w:t>
            </w:r>
          </w:p>
        </w:tc>
        <w:tc>
          <w:tcPr>
            <w:tcW w:w="4560" w:type="dxa"/>
            <w:vAlign w:val="bottom"/>
            <w:gridSpan w:val="3"/>
          </w:tcPr>
          <w:p>
            <w:pPr>
              <w:ind w:left="300"/>
              <w:spacing w:after="0"/>
              <w:rPr>
                <w:sz w:val="20"/>
                <w:szCs w:val="20"/>
                <w:color w:val="auto"/>
              </w:rPr>
            </w:pPr>
            <w:r>
              <w:rPr>
                <w:rFonts w:ascii="Arial" w:cs="Arial" w:eastAsia="Arial" w:hAnsi="Arial"/>
                <w:sz w:val="18"/>
                <w:szCs w:val="18"/>
                <w:color w:val="auto"/>
              </w:rPr>
              <w:t>- Commercial building automation</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provide flexible, highly integrated solutions designed to meet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Consumer electronics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0"/>
              </w:rPr>
              <w:t>demanding requirements of IoT applications. Wireless protocols include</w:t>
            </w:r>
          </w:p>
        </w:tc>
        <w:tc>
          <w:tcPr>
            <w:tcW w:w="4560" w:type="dxa"/>
            <w:vAlign w:val="bottom"/>
            <w:gridSpan w:val="3"/>
          </w:tcPr>
          <w:p>
            <w:pPr>
              <w:ind w:left="300"/>
              <w:spacing w:after="0"/>
              <w:rPr>
                <w:sz w:val="20"/>
                <w:szCs w:val="20"/>
                <w:color w:val="auto"/>
              </w:rPr>
            </w:pPr>
            <w:r>
              <w:rPr>
                <w:rFonts w:ascii="Arial" w:cs="Arial" w:eastAsia="Arial" w:hAnsi="Arial"/>
                <w:sz w:val="18"/>
                <w:szCs w:val="18"/>
                <w:color w:val="auto"/>
              </w:rPr>
              <w:t>- Asset tracking</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6"/>
              </w:rPr>
              <w:t>Zigbee, sub-GHz proprietary, Bluetooth, Z-Wave, Thread and Wi-Fi</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Medical instrumentation</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technologies. Our EFM32™, EFM8™, 8051, wireless MCUs and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5"/>
              </w:rPr>
              <w:t>wireless SoCs are supported by Simplicity Studio™, which provides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one-click access to design tools, documentation, software and support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resources. In-house protocol stacks and Micrium® real-time operating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system (RTOS) help simplify software development for IoT developers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by coordinating and prioritizing multiprotocol connectivity, SoC</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5"/>
              </w:rPr>
              <w:t>peripherals and other system-level activities. The introduction of our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1"/>
              </w:rPr>
              <w:t>Series 2 portfolio provides a greater focus on updatable device security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3"/>
              </w:rPr>
              <w:t>which is becoming vital to the evolution and success of IoT. We bring</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3"/>
              </w:rPr>
              <w:t>enhanced capability to the industry protecting user data, system keys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6"/>
              </w:rPr>
              <w:t>and manufacturer brands from malicious threats both hands-on and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88"/>
              </w:rPr>
              <w:t>Internet-based. Our broad portfolio addresses a variety of target markets,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including smart home, commercial (building automation and retail) and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industrial (smart energy, factory automation, smart cities).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500" w:type="dxa"/>
            <w:vAlign w:val="bottom"/>
            <w:gridSpan w:val="4"/>
          </w:tcPr>
          <w:p>
            <w:pPr>
              <w:spacing w:after="0"/>
              <w:rPr>
                <w:sz w:val="20"/>
                <w:szCs w:val="20"/>
                <w:color w:val="auto"/>
              </w:rPr>
            </w:pPr>
            <w:r>
              <w:rPr>
                <w:rFonts w:ascii="Arial" w:cs="Arial" w:eastAsia="Arial" w:hAnsi="Arial"/>
                <w:sz w:val="18"/>
                <w:szCs w:val="18"/>
                <w:i w:val="1"/>
                <w:iCs w:val="1"/>
                <w:color w:val="auto"/>
              </w:rPr>
              <w:t>Sensors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4"/>
              </w:rPr>
              <w:t>Our sensor products include optical sensors (proximity, ambient light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Consumer health &amp; fitness (wearables)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gestures and heart rate monitoring), as well as relative humidity (RH) /</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Smart home sensing</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temperature sensors and Hall effect magnetic sensors. These devices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Industrial controls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leverage our mixed-signal capability to provide high accuracy, process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40"/>
              <w:spacing w:after="0"/>
              <w:rPr>
                <w:sz w:val="20"/>
                <w:szCs w:val="20"/>
                <w:color w:val="auto"/>
              </w:rPr>
            </w:pPr>
            <w:r>
              <w:rPr>
                <w:rFonts w:ascii="Arial" w:cs="Arial" w:eastAsia="Arial" w:hAnsi="Arial"/>
                <w:sz w:val="18"/>
                <w:szCs w:val="18"/>
                <w:color w:val="auto"/>
              </w:rPr>
              <w:t>Toys and consumer electronics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1"/>
              </w:rPr>
              <w:t>technology to improve performance and lower power consumption than</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Monitors and lavatory controls</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competing parts.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Consumer medical</w:t>
            </w:r>
          </w:p>
        </w:tc>
        <w:tc>
          <w:tcPr>
            <w:tcW w:w="20" w:type="dxa"/>
            <w:vAlign w:val="bottom"/>
          </w:tcPr>
          <w:p>
            <w:pPr>
              <w:spacing w:after="0"/>
              <w:rPr>
                <w:sz w:val="19"/>
                <w:szCs w:val="19"/>
                <w:color w:val="auto"/>
              </w:rPr>
            </w:pPr>
          </w:p>
        </w:tc>
      </w:tr>
      <w:tr>
        <w:trPr>
          <w:trHeight w:val="387"/>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Infrastructure Products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3"/>
        </w:trPr>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Timing Devices</w:t>
            </w:r>
          </w:p>
        </w:tc>
        <w:tc>
          <w:tcPr>
            <w:tcW w:w="37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280"/>
              <w:spacing w:after="0"/>
              <w:rPr>
                <w:sz w:val="20"/>
                <w:szCs w:val="20"/>
                <w:color w:val="auto"/>
              </w:rPr>
            </w:pPr>
            <w:r>
              <w:rPr>
                <w:rFonts w:ascii="Arial" w:cs="Arial" w:eastAsia="Arial" w:hAnsi="Arial"/>
                <w:sz w:val="18"/>
                <w:szCs w:val="18"/>
                <w:color w:val="auto"/>
              </w:rPr>
              <w:t>Robust demand for bandwidth is driving the deployment of next-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Optical networking</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5"/>
              </w:rPr>
              <w:t>generation Internet infrastructure equipment to deliver higher speed,</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40"/>
              <w:spacing w:after="0"/>
              <w:rPr>
                <w:sz w:val="20"/>
                <w:szCs w:val="20"/>
                <w:color w:val="auto"/>
              </w:rPr>
            </w:pPr>
            <w:r>
              <w:rPr>
                <w:rFonts w:ascii="Arial" w:cs="Arial" w:eastAsia="Arial" w:hAnsi="Arial"/>
                <w:sz w:val="18"/>
                <w:szCs w:val="18"/>
                <w:color w:val="auto"/>
              </w:rPr>
              <w:t>Telecommunications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2"/>
              </w:rPr>
              <w:t>higher capacity and more flexible networks. This transition puts unique</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Data center</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3"/>
              </w:rPr>
              <w:t>requirements on the clocks and oscillators used to provide timing and</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Switches/routers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synchronization for the equipment responsible for switching,</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Industrial</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1"/>
              </w:rPr>
              <w:t>transporting, processing and storing network traffic. To meet this need,</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Servers and storage</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7"/>
              </w:rPr>
              <w:t>we provide low-jitter, frequency-flexible, mass-customizable timing</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Mobile fronthaul and backhaul</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1"/>
              </w:rPr>
              <w:t>solutions that accelerate development time, minimize cost and improve</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40"/>
              <w:spacing w:after="0"/>
              <w:rPr>
                <w:sz w:val="20"/>
                <w:szCs w:val="20"/>
                <w:color w:val="auto"/>
              </w:rPr>
            </w:pPr>
            <w:r>
              <w:rPr>
                <w:rFonts w:ascii="Arial" w:cs="Arial" w:eastAsia="Arial" w:hAnsi="Arial"/>
                <w:sz w:val="18"/>
                <w:szCs w:val="18"/>
                <w:color w:val="auto"/>
              </w:rPr>
              <w:t>Wireless base stations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system reliability. Our high-performance “clock-tree-on-a-chip”</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Small cells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products offer highly integrated single-chip IC solutions for clock</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60" w:type="dxa"/>
            <w:vAlign w:val="bottom"/>
          </w:tcPr>
          <w:p>
            <w:pPr>
              <w:ind w:left="60"/>
              <w:spacing w:after="0"/>
              <w:rPr>
                <w:sz w:val="20"/>
                <w:szCs w:val="20"/>
                <w:color w:val="auto"/>
              </w:rPr>
            </w:pPr>
            <w:r>
              <w:rPr>
                <w:rFonts w:ascii="Arial" w:cs="Arial" w:eastAsia="Arial" w:hAnsi="Arial"/>
                <w:sz w:val="18"/>
                <w:szCs w:val="18"/>
                <w:color w:val="auto"/>
              </w:rPr>
              <w:t>Broadcast video</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w w:val="91"/>
              </w:rPr>
              <w:t>synthesis and jitter attenuation, offering superior jitter performance and</w:t>
            </w:r>
          </w:p>
        </w:tc>
        <w:tc>
          <w:tcPr>
            <w:tcW w:w="4560" w:type="dxa"/>
            <w:vAlign w:val="bottom"/>
            <w:gridSpan w:val="3"/>
          </w:tcPr>
          <w:p>
            <w:pPr>
              <w:ind w:left="300"/>
              <w:spacing w:after="0"/>
              <w:rPr>
                <w:sz w:val="20"/>
                <w:szCs w:val="20"/>
                <w:color w:val="auto"/>
              </w:rPr>
            </w:pPr>
            <w:r>
              <w:rPr>
                <w:rFonts w:ascii="Arial" w:cs="Arial" w:eastAsia="Arial" w:hAnsi="Arial"/>
                <w:sz w:val="18"/>
                <w:szCs w:val="18"/>
                <w:color w:val="auto"/>
              </w:rPr>
              <w:t>- Automotive</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80" w:type="dxa"/>
            <w:vAlign w:val="bottom"/>
            <w:gridSpan w:val="3"/>
          </w:tcPr>
          <w:p>
            <w:pPr>
              <w:ind w:left="300"/>
              <w:spacing w:after="0"/>
              <w:rPr>
                <w:sz w:val="20"/>
                <w:szCs w:val="20"/>
                <w:color w:val="auto"/>
              </w:rPr>
            </w:pPr>
            <w:r>
              <w:rPr>
                <w:rFonts w:ascii="Arial" w:cs="Arial" w:eastAsia="Arial" w:hAnsi="Arial"/>
                <w:sz w:val="18"/>
                <w:szCs w:val="18"/>
                <w:color w:val="auto"/>
              </w:rPr>
              <w:t>frequency flexibility for high data rate applications.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51"/>
        </w:trPr>
        <w:tc>
          <w:tcPr>
            <w:tcW w:w="5500" w:type="dxa"/>
            <w:vAlign w:val="bottom"/>
            <w:gridSpan w:val="4"/>
          </w:tcPr>
          <w:p>
            <w:pPr>
              <w:ind w:left="49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3"/>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080"/>
          </w:cols>
          <w:pgMar w:left="920" w:top="513" w:right="8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Areas and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3484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Isolation Products</w:t>
      </w:r>
    </w:p>
    <w:p>
      <w:pPr>
        <w:spacing w:after="0" w:line="3" w:lineRule="exact"/>
        <w:rPr>
          <w:sz w:val="20"/>
          <w:szCs w:val="20"/>
          <w:color w:val="auto"/>
        </w:rPr>
      </w:pPr>
    </w:p>
    <w:p>
      <w:pPr>
        <w:ind w:left="320" w:hanging="11"/>
        <w:spacing w:after="0" w:line="280" w:lineRule="auto"/>
        <w:rPr>
          <w:sz w:val="20"/>
          <w:szCs w:val="20"/>
          <w:color w:val="auto"/>
        </w:rPr>
      </w:pPr>
      <w:r>
        <w:rPr>
          <w:rFonts w:ascii="Arial" w:cs="Arial" w:eastAsia="Arial" w:hAnsi="Arial"/>
          <w:sz w:val="16"/>
          <w:szCs w:val="16"/>
          <w:color w:val="auto"/>
        </w:rPr>
        <w:t>Our digital isolation techniques enable customers to deploy more energy efficient power solutions that meet isolation safety standards and solve difficult electronic noise issues. Systems such as data center servers, cellular base stations, uninterruptable power supplies and electric vehicles require increasingly energy efficient power solutions. Electric motors used in electric vehicles, pumps, HVAC compressors, fans and automated machinery need more sophisticated and efficient digital controls. Our isolation technology enables customers to address these demanding requirements. Products include multi-channel isolators, isolated drivers, isolated power converters and mixed-signal devices that simplify design, improve reliability, minimize noise emissions and reduce system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Broadcast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Broadcast Consumer</w:t>
      </w:r>
    </w:p>
    <w:p>
      <w:pPr>
        <w:spacing w:after="0" w:line="17" w:lineRule="exact"/>
        <w:rPr>
          <w:sz w:val="20"/>
          <w:szCs w:val="20"/>
          <w:color w:val="auto"/>
        </w:rPr>
      </w:pPr>
    </w:p>
    <w:p>
      <w:pPr>
        <w:ind w:left="320" w:hanging="11"/>
        <w:spacing w:after="0" w:line="280" w:lineRule="auto"/>
        <w:rPr>
          <w:sz w:val="20"/>
          <w:szCs w:val="20"/>
          <w:color w:val="auto"/>
        </w:rPr>
      </w:pPr>
      <w:r>
        <w:rPr>
          <w:rFonts w:ascii="Arial" w:cs="Arial" w:eastAsia="Arial" w:hAnsi="Arial"/>
          <w:sz w:val="16"/>
          <w:szCs w:val="16"/>
          <w:color w:val="auto"/>
        </w:rPr>
        <w:t>Our single-chip hybrid TV tuners leverage our proven digital low-IF architecture and support all major analog and digital TV standards, including NTSC, PAL/SECAM, ATSC 1.0/3.0, DVB-T2/T/C2/C, ISDB-T and DTMB, enabling TV makers worldwide to deliver improved picture quality and better reception for both analog and digital broadcasts. Our single-chip, low-power and high-performance single-and dual-channel digital video demodulators are ideal for customer premises equipment (CPE) receiving DVB-T/T2, DVB-S/S2/S2X, DVB-C/C2 and/or ISDB-T. Our AM/FM, HD Radio™ and DAB/DAB+ receivers deliver a complete radio solution, from antenna input to audio output, in a single chip. Our broadcast audio products are based on an innovative digital architecture enabling significant improvements in performance, which translates to a better consumer experience, while reducing system cost and board space for our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Broadcast Automotive</w:t>
      </w:r>
    </w:p>
    <w:p>
      <w:pPr>
        <w:spacing w:after="0" w:line="17" w:lineRule="exact"/>
        <w:rPr>
          <w:sz w:val="20"/>
          <w:szCs w:val="20"/>
          <w:color w:val="auto"/>
        </w:rPr>
      </w:pPr>
    </w:p>
    <w:p>
      <w:pPr>
        <w:ind w:left="320" w:right="20" w:hanging="11"/>
        <w:spacing w:after="0" w:line="282" w:lineRule="auto"/>
        <w:rPr>
          <w:sz w:val="20"/>
          <w:szCs w:val="20"/>
          <w:color w:val="auto"/>
        </w:rPr>
      </w:pPr>
      <w:r>
        <w:rPr>
          <w:rFonts w:ascii="Arial" w:cs="Arial" w:eastAsia="Arial" w:hAnsi="Arial"/>
          <w:sz w:val="16"/>
          <w:szCs w:val="16"/>
          <w:color w:val="auto"/>
        </w:rPr>
        <w:t>Our high-performance automotive infotainment solutions include hybrid Software Defined Radio (SDR) tuners, data receivers and digital radio coprocessors that improve the end user experience, reduce system cost, and support all major digital radio standards, including DAB/DAB+, HD Radio and DRM. Our scalable architecture enables automotive infotainment system suppliers to leverage their investments across multiple product lines ranging from entry-level car radios to cutting-edge multi-tuner, multi-antenna radios for premium vehicles.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Access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ProSLIC</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Subscriber Line Interface Circuits for VoIP</w:t>
      </w:r>
    </w:p>
    <w:p>
      <w:pPr>
        <w:ind w:left="320" w:right="40" w:hanging="11"/>
        <w:spacing w:after="0" w:line="265" w:lineRule="auto"/>
        <w:rPr>
          <w:sz w:val="20"/>
          <w:szCs w:val="20"/>
          <w:color w:val="auto"/>
        </w:rPr>
      </w:pPr>
      <w:r>
        <w:rPr>
          <w:rFonts w:ascii="Arial" w:cs="Arial" w:eastAsia="Arial" w:hAnsi="Arial"/>
          <w:sz w:val="17"/>
          <w:szCs w:val="17"/>
          <w:color w:val="auto"/>
        </w:rPr>
        <w:t>Our ProSLIC provides the analog subscriber line interface on the source end of the telephone which generates dial tone, busy tone, caller ID and ring signal. Our offerings are well suited for the market for Voice over IP telephony applications deployed over cable, DSL, optical and wireless fixed terminal networks.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755"/>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270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1" w:lineRule="exact"/>
        <w:rPr>
          <w:sz w:val="20"/>
          <w:szCs w:val="20"/>
          <w:color w:val="auto"/>
        </w:rPr>
      </w:pPr>
    </w:p>
    <w:p>
      <w:pPr>
        <w:ind w:left="155" w:hanging="155"/>
        <w:spacing w:after="0"/>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 control and automation systems</w:t>
      </w:r>
    </w:p>
    <w:p>
      <w:pPr>
        <w:spacing w:after="0" w:line="16" w:lineRule="exact"/>
        <w:rPr>
          <w:rFonts w:ascii="Arial" w:cs="Arial" w:eastAsia="Arial" w:hAnsi="Arial"/>
          <w:sz w:val="18"/>
          <w:szCs w:val="18"/>
          <w:color w:val="auto"/>
        </w:rPr>
      </w:pPr>
    </w:p>
    <w:p>
      <w:pPr>
        <w:ind w:left="155" w:hanging="155"/>
        <w:spacing w:after="0"/>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Cloud, datacenter and telecom power supplies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Electric vehicle charging and battery management</w:t>
      </w:r>
    </w:p>
    <w:p>
      <w:pPr>
        <w:spacing w:after="0" w:line="28" w:lineRule="exact"/>
        <w:rPr>
          <w:rFonts w:ascii="Arial" w:cs="Arial" w:eastAsia="Arial" w:hAnsi="Arial"/>
          <w:sz w:val="16"/>
          <w:szCs w:val="16"/>
          <w:color w:val="auto"/>
        </w:rPr>
      </w:pPr>
    </w:p>
    <w:p>
      <w:pPr>
        <w:ind w:left="155" w:hanging="155"/>
        <w:spacing w:after="0"/>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Solar inverters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Hybrid / Electric automotive drive trains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power audio</w:t>
      </w:r>
    </w:p>
    <w:p>
      <w:pPr>
        <w:spacing w:after="0" w:line="5" w:lineRule="exact"/>
        <w:rPr>
          <w:rFonts w:ascii="Arial" w:cs="Arial" w:eastAsia="Arial" w:hAnsi="Arial"/>
          <w:sz w:val="18"/>
          <w:szCs w:val="18"/>
          <w:color w:val="auto"/>
        </w:rPr>
      </w:pPr>
    </w:p>
    <w:p>
      <w:pPr>
        <w:ind w:left="135" w:hanging="135"/>
        <w:spacing w:after="0"/>
        <w:tabs>
          <w:tab w:leader="none" w:pos="1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Test and measurement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5" w:hanging="135"/>
        <w:spacing w:after="0"/>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Worldwide 4K/8K UHD TVs and smart TVs</w:t>
      </w:r>
    </w:p>
    <w:p>
      <w:pPr>
        <w:spacing w:after="0" w:line="16"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Free-to-Air (FtA) or pay-TV set-top boxes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PVR/DVD/Blu-Ray/HDD video recorders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PC-TV applications</w:t>
      </w:r>
    </w:p>
    <w:p>
      <w:pPr>
        <w:spacing w:after="0" w:line="5" w:lineRule="exact"/>
        <w:rPr>
          <w:rFonts w:ascii="Arial" w:cs="Arial" w:eastAsia="Arial" w:hAnsi="Arial"/>
          <w:sz w:val="18"/>
          <w:szCs w:val="18"/>
          <w:color w:val="auto"/>
        </w:rPr>
      </w:pPr>
    </w:p>
    <w:p>
      <w:pPr>
        <w:ind w:left="135" w:hanging="135"/>
        <w:spacing w:after="0"/>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AM/FM clock radios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DAB digital radios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HD Radio digital radios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Home theater systems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Portable audio devices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MP3/digital media players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135" w:hanging="135"/>
        <w:spacing w:after="0"/>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Automotive OEM infotainment systems</w:t>
      </w:r>
    </w:p>
    <w:p>
      <w:pPr>
        <w:spacing w:after="0" w:line="16" w:lineRule="exact"/>
        <w:rPr>
          <w:rFonts w:ascii="Arial" w:cs="Arial" w:eastAsia="Arial" w:hAnsi="Arial"/>
          <w:sz w:val="18"/>
          <w:szCs w:val="18"/>
          <w:color w:val="auto"/>
        </w:rPr>
      </w:pPr>
    </w:p>
    <w:p>
      <w:pPr>
        <w:ind w:left="135" w:hanging="135"/>
        <w:spacing w:after="0"/>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Aftermarket car radios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Navigation/GPS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95" w:hanging="195"/>
        <w:spacing w:after="0" w:line="253" w:lineRule="auto"/>
        <w:tabs>
          <w:tab w:leader="none" w:pos="136" w:val="left"/>
        </w:tabs>
        <w:numPr>
          <w:ilvl w:val="0"/>
          <w:numId w:val="7"/>
        </w:numPr>
        <w:rPr>
          <w:rFonts w:ascii="Arial" w:cs="Arial" w:eastAsia="Arial" w:hAnsi="Arial"/>
          <w:sz w:val="18"/>
          <w:szCs w:val="18"/>
          <w:color w:val="auto"/>
        </w:rPr>
      </w:pPr>
      <w:r>
        <w:rPr>
          <w:rFonts w:ascii="Arial" w:cs="Arial" w:eastAsia="Arial" w:hAnsi="Arial"/>
          <w:sz w:val="18"/>
          <w:szCs w:val="18"/>
          <w:color w:val="auto"/>
        </w:rPr>
        <w:t>Voice functionality for cable, DSL and optical digital modems and terminal adapters</w:t>
      </w:r>
    </w:p>
    <w:p>
      <w:pPr>
        <w:ind w:left="135" w:hanging="135"/>
        <w:spacing w:after="0"/>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VoIP residential gateways</w:t>
      </w:r>
    </w:p>
    <w:p>
      <w:pPr>
        <w:spacing w:after="0" w:line="5" w:lineRule="exact"/>
        <w:rPr>
          <w:rFonts w:ascii="Arial" w:cs="Arial" w:eastAsia="Arial" w:hAnsi="Arial"/>
          <w:sz w:val="18"/>
          <w:szCs w:val="18"/>
          <w:color w:val="auto"/>
        </w:rPr>
      </w:pPr>
    </w:p>
    <w:p>
      <w:pPr>
        <w:ind w:left="135" w:hanging="135"/>
        <w:spacing w:after="0"/>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local loop remote access systems</w:t>
      </w:r>
    </w:p>
    <w:p>
      <w:pPr>
        <w:spacing w:after="0" w:line="5" w:lineRule="exact"/>
        <w:rPr>
          <w:rFonts w:ascii="Arial" w:cs="Arial" w:eastAsia="Arial" w:hAnsi="Arial"/>
          <w:sz w:val="18"/>
          <w:szCs w:val="18"/>
          <w:color w:val="auto"/>
        </w:rPr>
      </w:pPr>
    </w:p>
    <w:p>
      <w:pPr>
        <w:ind w:left="155" w:hanging="155"/>
        <w:spacing w:after="0"/>
        <w:tabs>
          <w:tab w:leader="none" w:pos="1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PBXs</w:t>
      </w:r>
    </w:p>
    <w:p>
      <w:pPr>
        <w:sectPr>
          <w:pgSz w:w="11900" w:h="16838" w:orient="portrait"/>
          <w:cols w:equalWidth="0" w:num="2">
            <w:col w:w="5460" w:space="345"/>
            <w:col w:w="3915"/>
          </w:cols>
          <w:pgMar w:left="920" w:top="513"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Product Areas and Description</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tcPr>
          <w:p>
            <w:pPr>
              <w:ind w:left="1660"/>
              <w:spacing w:after="0"/>
              <w:rPr>
                <w:sz w:val="20"/>
                <w:szCs w:val="20"/>
                <w:color w:val="auto"/>
              </w:rPr>
            </w:pPr>
            <w:r>
              <w:rPr>
                <w:rFonts w:ascii="Arial" w:cs="Arial" w:eastAsia="Arial" w:hAnsi="Arial"/>
                <w:sz w:val="14"/>
                <w:szCs w:val="14"/>
                <w:b w:val="1"/>
                <w:bCs w:val="1"/>
                <w:color w:val="auto"/>
              </w:rPr>
              <w:t>Applications</w:t>
            </w:r>
          </w:p>
        </w:tc>
      </w:tr>
      <w:tr>
        <w:trPr>
          <w:trHeight w:val="194"/>
        </w:trPr>
        <w:tc>
          <w:tcPr>
            <w:tcW w:w="20" w:type="dxa"/>
            <w:vAlign w:val="bottom"/>
          </w:tcPr>
          <w:p>
            <w:pPr>
              <w:spacing w:after="0"/>
              <w:rPr>
                <w:sz w:val="16"/>
                <w:szCs w:val="16"/>
                <w:color w:val="auto"/>
              </w:rPr>
            </w:pPr>
          </w:p>
        </w:tc>
        <w:tc>
          <w:tcPr>
            <w:tcW w:w="5480" w:type="dxa"/>
            <w:vAlign w:val="bottom"/>
            <w:tcBorders>
              <w:top w:val="single" w:sz="8" w:color="auto"/>
            </w:tcBorders>
          </w:tcPr>
          <w:p>
            <w:pPr>
              <w:spacing w:after="0" w:line="193" w:lineRule="exact"/>
              <w:rPr>
                <w:sz w:val="20"/>
                <w:szCs w:val="20"/>
                <w:color w:val="auto"/>
              </w:rPr>
            </w:pPr>
            <w:r>
              <w:rPr>
                <w:rFonts w:ascii="Arial" w:cs="Arial" w:eastAsia="Arial" w:hAnsi="Arial"/>
                <w:sz w:val="15"/>
                <w:szCs w:val="15"/>
                <w:i w:val="1"/>
                <w:iCs w:val="1"/>
                <w:color w:val="auto"/>
              </w:rPr>
              <w:t>ISOmodem</w:t>
            </w:r>
            <w:r>
              <w:rPr>
                <w:rFonts w:ascii="Arial" w:cs="Arial" w:eastAsia="Arial" w:hAnsi="Arial"/>
                <w:sz w:val="22"/>
                <w:szCs w:val="22"/>
                <w:i w:val="1"/>
                <w:iCs w:val="1"/>
                <w:color w:val="auto"/>
                <w:vertAlign w:val="superscript"/>
              </w:rPr>
              <w:t>®</w:t>
            </w:r>
            <w:r>
              <w:rPr>
                <w:rFonts w:ascii="Arial" w:cs="Arial" w:eastAsia="Arial" w:hAnsi="Arial"/>
                <w:sz w:val="15"/>
                <w:szCs w:val="15"/>
                <w:i w:val="1"/>
                <w:iCs w:val="1"/>
                <w:color w:val="auto"/>
              </w:rPr>
              <w:t xml:space="preserve"> Embedded Modems</w:t>
            </w: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180" w:type="dxa"/>
            <w:vAlign w:val="bottom"/>
            <w:tcBorders>
              <w:top w:val="single" w:sz="8" w:color="auto"/>
            </w:tcBorders>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w w:val="93"/>
              </w:rPr>
              <w:t>Our ISOmodem embedded modems leverage innovative silicon direct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Fax machines and multi-function printers</w:t>
            </w:r>
          </w:p>
        </w:tc>
      </w:tr>
      <w:tr>
        <w:trPr>
          <w:trHeight w:val="213"/>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w w:val="94"/>
              </w:rPr>
              <w:t>access arrangement (DAA) technology and a digital signal processor</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Point of sale (POS) terminals</w:t>
            </w:r>
          </w:p>
        </w:tc>
      </w:tr>
      <w:tr>
        <w:trPr>
          <w:trHeight w:val="213"/>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w w:val="99"/>
              </w:rPr>
              <w:t>(DSP) to deliver a globally compliant, compact analog modem for</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Security systems</w:t>
            </w:r>
          </w:p>
        </w:tc>
      </w:tr>
      <w:tr>
        <w:trPr>
          <w:trHeight w:val="213"/>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embedded applications.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Industrial monitoring</w:t>
            </w:r>
          </w:p>
        </w:tc>
      </w:tr>
      <w:tr>
        <w:trPr>
          <w:trHeight w:val="224"/>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580" w:type="dxa"/>
            <w:vAlign w:val="bottom"/>
            <w:gridSpan w:val="3"/>
          </w:tcPr>
          <w:p>
            <w:pPr>
              <w:ind w:left="300"/>
              <w:spacing w:after="0"/>
              <w:rPr>
                <w:sz w:val="20"/>
                <w:szCs w:val="20"/>
                <w:color w:val="auto"/>
              </w:rPr>
            </w:pPr>
            <w:r>
              <w:rPr>
                <w:rFonts w:ascii="Arial" w:cs="Arial" w:eastAsia="Arial" w:hAnsi="Arial"/>
                <w:sz w:val="18"/>
                <w:szCs w:val="18"/>
                <w:color w:val="auto"/>
              </w:rPr>
              <w:t>- Remote medical monitoring</w:t>
            </w:r>
          </w:p>
        </w:tc>
      </w:tr>
      <w:tr>
        <w:trPr>
          <w:trHeight w:val="414"/>
        </w:trPr>
        <w:tc>
          <w:tcPr>
            <w:tcW w:w="5500" w:type="dxa"/>
            <w:vAlign w:val="bottom"/>
            <w:gridSpan w:val="2"/>
          </w:tcPr>
          <w:p>
            <w:pPr>
              <w:spacing w:after="0"/>
              <w:rPr>
                <w:sz w:val="20"/>
                <w:szCs w:val="20"/>
                <w:color w:val="auto"/>
              </w:rPr>
            </w:pPr>
            <w:r>
              <w:rPr>
                <w:rFonts w:ascii="Arial" w:cs="Arial" w:eastAsia="Arial" w:hAnsi="Arial"/>
                <w:sz w:val="18"/>
                <w:szCs w:val="18"/>
                <w:i w:val="1"/>
                <w:iCs w:val="1"/>
                <w:color w:val="auto"/>
              </w:rPr>
              <w:t>Power over Ethernet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80" w:type="dxa"/>
            <w:vAlign w:val="bottom"/>
          </w:tcPr>
          <w:p>
            <w:pPr>
              <w:ind w:left="280"/>
              <w:spacing w:after="0"/>
              <w:rPr>
                <w:sz w:val="20"/>
                <w:szCs w:val="20"/>
                <w:color w:val="auto"/>
              </w:rPr>
            </w:pPr>
            <w:r>
              <w:rPr>
                <w:rFonts w:ascii="Arial" w:cs="Arial" w:eastAsia="Arial" w:hAnsi="Arial"/>
                <w:sz w:val="18"/>
                <w:szCs w:val="18"/>
                <w:color w:val="auto"/>
                <w:w w:val="92"/>
              </w:rPr>
              <w:t>Our PoE power source equipment and powered device ICs offer highly</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Enterprise networking routers and switches</w:t>
            </w:r>
          </w:p>
        </w:tc>
      </w:tr>
      <w:tr>
        <w:trPr>
          <w:trHeight w:val="213"/>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w w:val="92"/>
              </w:rPr>
              <w:t>differentiated solutions with a reduced total bill of materials (BOM) and</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40"/>
              <w:spacing w:after="0"/>
              <w:rPr>
                <w:sz w:val="20"/>
                <w:szCs w:val="20"/>
                <w:color w:val="auto"/>
              </w:rPr>
            </w:pPr>
            <w:r>
              <w:rPr>
                <w:rFonts w:ascii="Arial" w:cs="Arial" w:eastAsia="Arial" w:hAnsi="Arial"/>
                <w:sz w:val="18"/>
                <w:szCs w:val="18"/>
                <w:color w:val="auto"/>
              </w:rPr>
              <w:t>Wireless access points (WAP)</w:t>
            </w:r>
          </w:p>
        </w:tc>
      </w:tr>
      <w:tr>
        <w:trPr>
          <w:trHeight w:val="213"/>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w w:val="92"/>
              </w:rPr>
              <w:t>improved performance and reliability. Our solutions offer a higher level</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40"/>
              <w:spacing w:after="0"/>
              <w:rPr>
                <w:sz w:val="20"/>
                <w:szCs w:val="20"/>
                <w:color w:val="auto"/>
              </w:rPr>
            </w:pPr>
            <w:r>
              <w:rPr>
                <w:rFonts w:ascii="Arial" w:cs="Arial" w:eastAsia="Arial" w:hAnsi="Arial"/>
                <w:sz w:val="18"/>
                <w:szCs w:val="18"/>
                <w:color w:val="auto"/>
              </w:rPr>
              <w:t>VoIP phones</w:t>
            </w:r>
          </w:p>
        </w:tc>
      </w:tr>
      <w:tr>
        <w:trPr>
          <w:trHeight w:val="213"/>
        </w:trPr>
        <w:tc>
          <w:tcPr>
            <w:tcW w:w="20" w:type="dxa"/>
            <w:vAlign w:val="bottom"/>
          </w:tcPr>
          <w:p>
            <w:pPr>
              <w:spacing w:after="0"/>
              <w:rPr>
                <w:sz w:val="18"/>
                <w:szCs w:val="18"/>
                <w:color w:val="auto"/>
              </w:rPr>
            </w:pPr>
          </w:p>
        </w:tc>
        <w:tc>
          <w:tcPr>
            <w:tcW w:w="5480" w:type="dxa"/>
            <w:vAlign w:val="bottom"/>
          </w:tcPr>
          <w:p>
            <w:pPr>
              <w:ind w:left="300"/>
              <w:spacing w:after="0"/>
              <w:rPr>
                <w:sz w:val="20"/>
                <w:szCs w:val="20"/>
                <w:color w:val="auto"/>
              </w:rPr>
            </w:pPr>
            <w:r>
              <w:rPr>
                <w:rFonts w:ascii="Arial" w:cs="Arial" w:eastAsia="Arial" w:hAnsi="Arial"/>
                <w:sz w:val="18"/>
                <w:szCs w:val="18"/>
                <w:color w:val="auto"/>
              </w:rPr>
              <w:t>of integration not available with competing solutions.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POS terminals</w:t>
            </w:r>
          </w:p>
        </w:tc>
      </w:tr>
      <w:tr>
        <w:trPr>
          <w:trHeight w:val="224"/>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180" w:type="dxa"/>
            <w:vAlign w:val="bottom"/>
          </w:tcPr>
          <w:p>
            <w:pPr>
              <w:ind w:left="60"/>
              <w:spacing w:after="0"/>
              <w:rPr>
                <w:sz w:val="20"/>
                <w:szCs w:val="20"/>
                <w:color w:val="auto"/>
              </w:rPr>
            </w:pPr>
            <w:r>
              <w:rPr>
                <w:rFonts w:ascii="Arial" w:cs="Arial" w:eastAsia="Arial" w:hAnsi="Arial"/>
                <w:sz w:val="18"/>
                <w:szCs w:val="18"/>
                <w:color w:val="auto"/>
              </w:rPr>
              <w:t>Security cameras</w:t>
            </w:r>
          </w:p>
        </w:tc>
      </w:tr>
    </w:tbl>
    <w:p>
      <w:pPr>
        <w:spacing w:after="0" w:line="201" w:lineRule="exact"/>
        <w:rPr>
          <w:sz w:val="20"/>
          <w:szCs w:val="20"/>
          <w:color w:val="auto"/>
        </w:rPr>
      </w:pPr>
    </w:p>
    <w:p>
      <w:pPr>
        <w:ind w:right="600" w:firstLine="319"/>
        <w:spacing w:after="0" w:line="266" w:lineRule="auto"/>
        <w:rPr>
          <w:sz w:val="20"/>
          <w:szCs w:val="20"/>
          <w:color w:val="auto"/>
        </w:rPr>
      </w:pPr>
      <w:r>
        <w:rPr>
          <w:rFonts w:ascii="Arial" w:cs="Arial" w:eastAsia="Arial" w:hAnsi="Arial"/>
          <w:sz w:val="18"/>
          <w:szCs w:val="18"/>
          <w:color w:val="auto"/>
        </w:rPr>
        <w:t>Revenues during fiscal 2019, 2018 and 2017 were generated predominately by sales of our mixed-signal products. The following summarizes our revenue by product category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Fiscal Year</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3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3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39" w:lineRule="exact"/>
              <w:rPr>
                <w:sz w:val="20"/>
                <w:szCs w:val="20"/>
                <w:color w:val="auto"/>
              </w:rPr>
            </w:pPr>
            <w:r>
              <w:rPr>
                <w:rFonts w:ascii="Arial" w:cs="Arial" w:eastAsia="Arial" w:hAnsi="Arial"/>
                <w:sz w:val="14"/>
                <w:szCs w:val="14"/>
                <w:b w:val="1"/>
                <w:bCs w:val="1"/>
                <w:color w:val="auto"/>
              </w:rPr>
              <w:t>2017</w:t>
            </w:r>
          </w:p>
        </w:tc>
      </w:tr>
      <w:tr>
        <w:trPr>
          <w:trHeight w:val="206"/>
        </w:trPr>
        <w:tc>
          <w:tcPr>
            <w:tcW w:w="20" w:type="dxa"/>
            <w:vAlign w:val="bottom"/>
          </w:tcPr>
          <w:p>
            <w:pPr>
              <w:spacing w:after="0"/>
              <w:rPr>
                <w:sz w:val="17"/>
                <w:szCs w:val="17"/>
                <w:color w:val="auto"/>
              </w:rPr>
            </w:pPr>
          </w:p>
        </w:tc>
        <w:tc>
          <w:tcPr>
            <w:tcW w:w="33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Internet of Things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488,156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463,838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89"/>
              </w:rPr>
              <w:t>395,012</w:t>
            </w:r>
          </w:p>
        </w:tc>
      </w:tr>
      <w:tr>
        <w:trPr>
          <w:trHeight w:val="213"/>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Infrastructure</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183,189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199,478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152,158</w:t>
            </w:r>
          </w:p>
        </w:tc>
      </w:tr>
      <w:tr>
        <w:trPr>
          <w:trHeight w:val="213"/>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Broadcast</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114,899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141,412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152,980</w:t>
            </w:r>
          </w:p>
        </w:tc>
      </w:tr>
      <w:tr>
        <w:trPr>
          <w:trHeight w:val="213"/>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Access</w:t>
            </w:r>
          </w:p>
        </w:tc>
        <w:tc>
          <w:tcPr>
            <w:tcW w:w="2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68,717</w:t>
            </w:r>
          </w:p>
        </w:tc>
      </w:tr>
      <w:tr>
        <w:trPr>
          <w:trHeight w:val="206"/>
        </w:trPr>
        <w:tc>
          <w:tcPr>
            <w:tcW w:w="20" w:type="dxa"/>
            <w:vAlign w:val="bottom"/>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837,554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868,267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89"/>
              </w:rPr>
              <w:t>768,867</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Marketing</w:t>
      </w:r>
    </w:p>
    <w:p>
      <w:pPr>
        <w:spacing w:after="0" w:line="224" w:lineRule="exact"/>
        <w:rPr>
          <w:sz w:val="20"/>
          <w:szCs w:val="20"/>
          <w:color w:val="auto"/>
        </w:rPr>
      </w:pPr>
    </w:p>
    <w:p>
      <w:pPr>
        <w:ind w:right="20" w:firstLine="319"/>
        <w:spacing w:after="0" w:line="329" w:lineRule="auto"/>
        <w:rPr>
          <w:sz w:val="20"/>
          <w:szCs w:val="20"/>
          <w:color w:val="auto"/>
        </w:rPr>
      </w:pPr>
      <w:r>
        <w:rPr>
          <w:rFonts w:ascii="Arial" w:cs="Arial" w:eastAsia="Arial" w:hAnsi="Arial"/>
          <w:sz w:val="16"/>
          <w:szCs w:val="16"/>
          <w:color w:val="auto"/>
        </w:rPr>
        <w:t>We market our products through our direct sales force and through a network of independent sales representatives and distributors. Direct and distribution customers buy on an individual purchase order basis, rather than pursuant to long-term agreements.</w:t>
      </w:r>
    </w:p>
    <w:p>
      <w:pPr>
        <w:spacing w:after="0" w:line="133" w:lineRule="exact"/>
        <w:rPr>
          <w:sz w:val="20"/>
          <w:szCs w:val="20"/>
          <w:color w:val="auto"/>
        </w:rPr>
      </w:pPr>
    </w:p>
    <w:p>
      <w:pPr>
        <w:jc w:val="both"/>
        <w:ind w:right="240" w:firstLine="319"/>
        <w:spacing w:after="0" w:line="321" w:lineRule="auto"/>
        <w:rPr>
          <w:sz w:val="20"/>
          <w:szCs w:val="20"/>
          <w:color w:val="auto"/>
        </w:rPr>
      </w:pPr>
      <w:r>
        <w:rPr>
          <w:rFonts w:ascii="Arial" w:cs="Arial" w:eastAsia="Arial" w:hAnsi="Arial"/>
          <w:sz w:val="14"/>
          <w:szCs w:val="14"/>
          <w:color w:val="auto"/>
        </w:rPr>
        <w:t>We consider our customer to be the end customer purchasing either directly from a distributor, a contract manufacturer or us. During fiscal 2019, our ten largest end customers accounted for 21% of our revenues. We had no customer that represented more than 10% of our revenues during this period. An end customer purchasing through a contract manufacturer typically instructs such contract manufacturer to obtain our products and incorporate such products with other components for sale by such contract manufacturer to the end customer.</w:t>
      </w:r>
    </w:p>
    <w:p>
      <w:pPr>
        <w:ind w:right="180"/>
        <w:spacing w:after="0" w:line="249" w:lineRule="auto"/>
        <w:rPr>
          <w:sz w:val="20"/>
          <w:szCs w:val="20"/>
          <w:color w:val="auto"/>
        </w:rPr>
      </w:pPr>
      <w:r>
        <w:rPr>
          <w:rFonts w:ascii="Arial" w:cs="Arial" w:eastAsia="Arial" w:hAnsi="Arial"/>
          <w:sz w:val="18"/>
          <w:szCs w:val="18"/>
          <w:color w:val="auto"/>
        </w:rPr>
        <w:t>Although we sell the products to, and are paid by distributors and contract manufacturers, we refer to such end customer as our customer. Two of our distributors who sell directly to our customers, Arrow Electronics and Edom Technology, each represented 26% and 20% of our revenues during fiscal 2019, respectively.</w:t>
      </w:r>
    </w:p>
    <w:p>
      <w:pPr>
        <w:spacing w:after="0" w:line="195" w:lineRule="exact"/>
        <w:rPr>
          <w:sz w:val="20"/>
          <w:szCs w:val="20"/>
          <w:color w:val="auto"/>
        </w:rPr>
      </w:pPr>
    </w:p>
    <w:p>
      <w:pPr>
        <w:ind w:right="120" w:firstLine="319"/>
        <w:spacing w:after="0" w:line="253" w:lineRule="auto"/>
        <w:rPr>
          <w:sz w:val="20"/>
          <w:szCs w:val="20"/>
          <w:color w:val="auto"/>
        </w:rPr>
      </w:pPr>
      <w:r>
        <w:rPr>
          <w:rFonts w:ascii="Arial" w:cs="Arial" w:eastAsia="Arial" w:hAnsi="Arial"/>
          <w:sz w:val="18"/>
          <w:szCs w:val="18"/>
          <w:color w:val="auto"/>
        </w:rPr>
        <w:t xml:space="preserve">We maintain numerous sales offices in Asia, the Americas and Europe. Revenue is attributed to a geographic area based on the shipped-to location. The percentage of our revenues derived from outside of the United States was 87% in fiscal 2019. For further information regarding our revenues and long-lived assets by geographic area, see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to the Consolidated Financial Statements.</w:t>
      </w:r>
    </w:p>
    <w:p>
      <w:pPr>
        <w:spacing w:after="0" w:line="190" w:lineRule="exact"/>
        <w:rPr>
          <w:sz w:val="20"/>
          <w:szCs w:val="20"/>
          <w:color w:val="auto"/>
        </w:rPr>
      </w:pPr>
    </w:p>
    <w:p>
      <w:pPr>
        <w:ind w:right="160" w:firstLine="319"/>
        <w:spacing w:after="0" w:line="290" w:lineRule="auto"/>
        <w:rPr>
          <w:sz w:val="20"/>
          <w:szCs w:val="20"/>
          <w:color w:val="auto"/>
        </w:rPr>
      </w:pPr>
      <w:r>
        <w:rPr>
          <w:rFonts w:ascii="Arial" w:cs="Arial" w:eastAsia="Arial" w:hAnsi="Arial"/>
          <w:sz w:val="16"/>
          <w:szCs w:val="16"/>
          <w:color w:val="auto"/>
        </w:rPr>
        <w:t>Our direct sales force is comprised of many sales professionals who possess varied levels of responsibility and experience, including directors, country managers, regional sales managers, district sales managers, strategic account managers, field sales engineers and sales representatives. We also utilize independent sales representatives and distributors to generate sales of our products. We have relationships with many independent sales representatives and distributors worldwide whom we have selected based on their understanding of the mixed-signal marketplace and their ability to provide effective field sales applications support for our products.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40" w:firstLine="319"/>
        <w:spacing w:after="0" w:line="249" w:lineRule="auto"/>
        <w:rPr>
          <w:sz w:val="20"/>
          <w:szCs w:val="20"/>
          <w:color w:val="auto"/>
        </w:rPr>
      </w:pPr>
      <w:r>
        <w:rPr>
          <w:rFonts w:ascii="Arial" w:cs="Arial" w:eastAsia="Arial" w:hAnsi="Arial"/>
          <w:sz w:val="18"/>
          <w:szCs w:val="18"/>
          <w:color w:val="auto"/>
        </w:rPr>
        <w:t>Our marketing efforts are targeted at both identified industry leaders and emerging market participants. Direct marketing activities are supplemented by a focused marketing communications effort that seeks to raise awareness of our company and products. Our public relations efforts are focused on leading trade and business publications. Our external website is used to deliver corporate and product information. We also pursue targeted advertising in key trade publications and we have a cooperative marketing program that allows our distributors and representatives to promote our products to their local markets in conjunction with their own advertising activities. Finally, we maintain a presence at strategic trade shows and industry events. These activities, in combination with direct sales activities, help drive demand for our products.</w:t>
      </w:r>
    </w:p>
    <w:p>
      <w:pPr>
        <w:spacing w:after="0" w:line="198" w:lineRule="exact"/>
        <w:rPr>
          <w:sz w:val="20"/>
          <w:szCs w:val="20"/>
          <w:color w:val="auto"/>
        </w:rPr>
      </w:pPr>
    </w:p>
    <w:p>
      <w:pPr>
        <w:ind w:firstLine="319"/>
        <w:spacing w:after="0" w:line="281" w:lineRule="auto"/>
        <w:rPr>
          <w:sz w:val="20"/>
          <w:szCs w:val="20"/>
          <w:color w:val="auto"/>
        </w:rPr>
      </w:pPr>
      <w:r>
        <w:rPr>
          <w:rFonts w:ascii="Arial" w:cs="Arial" w:eastAsia="Arial" w:hAnsi="Arial"/>
          <w:sz w:val="16"/>
          <w:szCs w:val="16"/>
          <w:color w:val="auto"/>
        </w:rPr>
        <w:t>Due to the complex and innovative nature of our products, we employ experienced applications engineers who work closely with customers and distributors to support the design-win process, and can significantly accelerate the customer’s time to market. A design win occurs when a customer has designed our ICs into its product architecture and ordered product from us. A considerable amount of effort to help a customer incorporate our ICs into its products is typically required prior to any sale. In many cases, our innovative ICs require significantly different implementations than existing approaches and, therefore, successful implementations may require extensive communication with potential customers. The amount of time required to achieve a design win can vary substantially depending on a customer’s development cycle, which can be relatively short (such as three months) or very long (such as two years) based on a wide variety of customer factors. Not all design wins ultimately result in revenue, or may result in less revenue than expected. However, once a completed design architecture has been implemented and produced in high volumes, our customers are reluctant to significantly alter their designs due to this extensive design-win process. We believe this process, coupled with our intellectual property protection, promotes relatively longer product life cycles for our products and high barriers to entry for competitive products, even if such competing products are offered at lower prices. Our close collaboration with our customers provides us with knowledge of derivative product ideas or completely new product line offerings that may not otherwise arise in other new product discussions.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4" w:lineRule="exact"/>
        <w:rPr>
          <w:sz w:val="20"/>
          <w:szCs w:val="20"/>
          <w:color w:val="auto"/>
        </w:rPr>
      </w:pPr>
    </w:p>
    <w:p>
      <w:pPr>
        <w:ind w:right="40" w:firstLine="319"/>
        <w:spacing w:after="0" w:line="264" w:lineRule="auto"/>
        <w:rPr>
          <w:sz w:val="20"/>
          <w:szCs w:val="20"/>
          <w:color w:val="auto"/>
        </w:rPr>
      </w:pPr>
      <w:r>
        <w:rPr>
          <w:rFonts w:ascii="Arial" w:cs="Arial" w:eastAsia="Arial" w:hAnsi="Arial"/>
          <w:sz w:val="17"/>
          <w:szCs w:val="17"/>
          <w:color w:val="auto"/>
        </w:rPr>
        <w:t>Through our research and development efforts, we leverage experienced analog and mixed-signal engineering talent and expertise to create new ICs that integrate functions typically performed less efficiently by multiple discrete components. This integration generally results in lower costs, smaller die sizes, lower power demands and enhanced price/performance characteristics. We attempt to reuse successful techniques for integration in new applications where similar benefits can be realized. We believe that we have attracted many of the best engineers in our industry. We believe that reliable and precise analog and mixed-signal ICs can only be developed by teams of engineers who have significant analog experience and are familiar with the intricacies of designing these ICs for commercial volume production. The development of test methodologies is just one example of a critical activity requiring experience and know-how to enable the rapid release of a new product for commercial success. We have accumulated a vast set of trade secrets that allow us to pursue innovative approaches to mixed-signal problems that are difficult for competitors to duplicate. We highly value our engineering talent and strive to maintain a very high bar when bringing new recruits to the company.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Research and development expenses were $257.2 million, $238.3 million and $209.5 million in fiscal 2019, 2018 and 2017,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4" w:lineRule="exact"/>
        <w:rPr>
          <w:sz w:val="20"/>
          <w:szCs w:val="20"/>
          <w:color w:val="auto"/>
        </w:rPr>
      </w:pPr>
    </w:p>
    <w:p>
      <w:pPr>
        <w:ind w:firstLine="319"/>
        <w:spacing w:after="0" w:line="269" w:lineRule="auto"/>
        <w:rPr>
          <w:sz w:val="20"/>
          <w:szCs w:val="20"/>
          <w:color w:val="auto"/>
        </w:rPr>
      </w:pPr>
      <w:r>
        <w:rPr>
          <w:rFonts w:ascii="Arial" w:cs="Arial" w:eastAsia="Arial" w:hAnsi="Arial"/>
          <w:sz w:val="17"/>
          <w:szCs w:val="17"/>
          <w:color w:val="auto"/>
        </w:rPr>
        <w:t>Our product development process facilitates the design of highly-innovative, analog-intensive, mixed-signal ICs. Our engineers’ deep knowledge of existing and emerging standards and performance requirements helps us to assess the technical feasibility of a particular IC. We target areas where we can provide compelling product improvements. Once we have solved the primary challenges, our field application engineers continue to work closely with our customers’ design teams to maintain and develop an understanding of our customers’ needs, allowing us to formulate derivative products and refined features.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providing mixed-signal ICs for our customers, we believe our key competitive advantages are:</w:t>
      </w:r>
    </w:p>
    <w:p>
      <w:pPr>
        <w:spacing w:after="0" w:line="218" w:lineRule="exact"/>
        <w:rPr>
          <w:sz w:val="20"/>
          <w:szCs w:val="20"/>
          <w:color w:val="auto"/>
        </w:rPr>
      </w:pPr>
    </w:p>
    <w:p>
      <w:pPr>
        <w:ind w:left="660" w:hanging="3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Analog and RF design expertise in CMOS;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Mixed-signal, firmware and system design expertise;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Microcontroller and system on a chip design expertise;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Software expertise, including multiprotocol connectivity and real-time operating systems for the IoT;</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Module integration and wireless design expertise;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660" w:hanging="31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Silicon-to-cloud security integration expertise;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broad understanding of systems technology and trends.</w:t>
      </w:r>
    </w:p>
    <w:p>
      <w:pPr>
        <w:spacing w:after="0" w:line="218" w:lineRule="exact"/>
        <w:rPr>
          <w:sz w:val="20"/>
          <w:szCs w:val="20"/>
          <w:color w:val="auto"/>
        </w:rPr>
      </w:pPr>
    </w:p>
    <w:p>
      <w:pPr>
        <w:ind w:right="200" w:firstLine="319"/>
        <w:spacing w:after="0" w:line="266" w:lineRule="auto"/>
        <w:rPr>
          <w:sz w:val="20"/>
          <w:szCs w:val="20"/>
          <w:color w:val="auto"/>
        </w:rPr>
      </w:pPr>
      <w:r>
        <w:rPr>
          <w:rFonts w:ascii="Arial" w:cs="Arial" w:eastAsia="Arial" w:hAnsi="Arial"/>
          <w:sz w:val="18"/>
          <w:szCs w:val="18"/>
          <w:color w:val="auto"/>
        </w:rPr>
        <w:t>To fully capitalize on these advantages, we have assembled a world-class development team with exceptional analog and mixed-signal design expertise led by accomplished senior engineers.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Analog and RF Design Expertise in CMOS</w:t>
      </w:r>
    </w:p>
    <w:p>
      <w:pPr>
        <w:spacing w:after="0" w:line="218" w:lineRule="exact"/>
        <w:rPr>
          <w:sz w:val="20"/>
          <w:szCs w:val="20"/>
          <w:color w:val="auto"/>
        </w:rPr>
      </w:pPr>
    </w:p>
    <w:p>
      <w:pPr>
        <w:ind w:right="100" w:firstLine="319"/>
        <w:spacing w:after="0" w:line="286" w:lineRule="auto"/>
        <w:rPr>
          <w:sz w:val="20"/>
          <w:szCs w:val="20"/>
          <w:color w:val="auto"/>
        </w:rPr>
      </w:pPr>
      <w:r>
        <w:rPr>
          <w:rFonts w:ascii="Arial" w:cs="Arial" w:eastAsia="Arial" w:hAnsi="Arial"/>
          <w:sz w:val="16"/>
          <w:szCs w:val="16"/>
          <w:color w:val="auto"/>
        </w:rPr>
        <w:t>We believe that our most significant core competency is world-class analog and RF design capability. Additionally, we strive to design substantially all our ICs in standard CMOS processes. Most of our product designs now incorporate some type of RF in CMOS technology. While it is often significantly more difficult to design analog ICs in CMOS, CMOS provides multiple benefits versus existing alternatives, including significantly reduced cost, reduced technology risk and greater worldwide foundry capacity. CMOS is the most commonly used process technology for manufacturing digital ICs and as a result is most likely to be used for the manufacturing of ICs with finer line geometries. These finer line geometries can enable smaller and faster ICs. By designing our ICs in CMOS, we enable our products to benefit from this trend towards finer line geometries, which allows us to integrate more digital functionality into our mixed-signal ICs.</w:t>
      </w:r>
    </w:p>
    <w:p>
      <w:pPr>
        <w:spacing w:after="0" w:line="166" w:lineRule="exact"/>
        <w:rPr>
          <w:sz w:val="20"/>
          <w:szCs w:val="20"/>
          <w:color w:val="auto"/>
        </w:rPr>
      </w:pPr>
    </w:p>
    <w:p>
      <w:pPr>
        <w:ind w:right="60" w:firstLine="319"/>
        <w:spacing w:after="0" w:line="253" w:lineRule="auto"/>
        <w:rPr>
          <w:sz w:val="20"/>
          <w:szCs w:val="20"/>
          <w:color w:val="auto"/>
        </w:rPr>
      </w:pPr>
      <w:r>
        <w:rPr>
          <w:rFonts w:ascii="Arial" w:cs="Arial" w:eastAsia="Arial" w:hAnsi="Arial"/>
          <w:sz w:val="18"/>
          <w:szCs w:val="18"/>
          <w:color w:val="auto"/>
        </w:rPr>
        <w:t>Designing analog and mixed-signal ICs is significantly more complicated than designing standalone digital ICs. While advanced software tools exist to help automate digital IC design, there are far fewer tools for advanced analog and mixed-signal IC design. In many cases, our analog circuit design efforts begin at the fundamental transistor level. We believe that we have a demonstrated ability to design the most difficult analog and RF circuits using standard CMOS technologies.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Mixed-Signal, Firmware and System Design Expertise</w:t>
      </w:r>
    </w:p>
    <w:p>
      <w:pPr>
        <w:spacing w:after="0" w:line="218" w:lineRule="exact"/>
        <w:rPr>
          <w:sz w:val="20"/>
          <w:szCs w:val="20"/>
          <w:color w:val="auto"/>
        </w:rPr>
      </w:pPr>
    </w:p>
    <w:p>
      <w:pPr>
        <w:ind w:right="100" w:firstLine="319"/>
        <w:spacing w:after="0" w:line="264" w:lineRule="auto"/>
        <w:rPr>
          <w:sz w:val="20"/>
          <w:szCs w:val="20"/>
          <w:color w:val="auto"/>
        </w:rPr>
      </w:pPr>
      <w:r>
        <w:rPr>
          <w:rFonts w:ascii="Arial" w:cs="Arial" w:eastAsia="Arial" w:hAnsi="Arial"/>
          <w:sz w:val="17"/>
          <w:szCs w:val="17"/>
          <w:color w:val="auto"/>
        </w:rPr>
        <w:t>We consider the partitioning of a circuit to be a proprietary and creative design technique. Deep systems knowledge allows us to use our mixed-signal and RF in CMOS design expertise to maximize the price/performance characteristics of both the analog and digital functions and allow our ICs to work in an optimized manner to accomplish particular tasks. Generally, we attempt to move analog functions into the digital domain as quickly as possible, creating system efficiencies without compromising performance. These patented approaches require our advanced signal processing and systems expertise. We then leverage our firmware know-how to change the ‘personality’ of our devices, optimizing features and functions needed by various markets we serve. For example, our wireless SoC devices for IoT applications integrate both digital and analog domains in a single chip. The SoCs combine ARM Cortex-M processor cores, a variety of digital and analog peripherals, hardware cryptography accelerators, and analog-intensive multiprotocol radio transceivers. This system integration at the chip level leverages our deep expertise in mixed-signal and RF design, and low-power wireless MCU architectures pioneered for more than a decade.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Microcontroller and System on a Chip Design Expertise</w:t>
      </w:r>
    </w:p>
    <w:p>
      <w:pPr>
        <w:spacing w:after="0" w:line="218" w:lineRule="exact"/>
        <w:rPr>
          <w:sz w:val="20"/>
          <w:szCs w:val="20"/>
          <w:color w:val="auto"/>
        </w:rPr>
      </w:pPr>
    </w:p>
    <w:p>
      <w:pPr>
        <w:ind w:firstLine="319"/>
        <w:spacing w:after="0" w:line="286" w:lineRule="auto"/>
        <w:rPr>
          <w:sz w:val="20"/>
          <w:szCs w:val="20"/>
          <w:color w:val="auto"/>
        </w:rPr>
      </w:pPr>
      <w:r>
        <w:rPr>
          <w:rFonts w:ascii="Arial" w:cs="Arial" w:eastAsia="Arial" w:hAnsi="Arial"/>
          <w:sz w:val="16"/>
          <w:szCs w:val="16"/>
          <w:color w:val="auto"/>
        </w:rPr>
        <w:t>We have the talent and circuit integration methodologies required to combine precision analog, high-speed digital, flash memory and in-system programmability into a single, monolithic CMOS integrated circuit. Our microcontroller products are designed to capture an external analog signal, convert it to a digital signal, compute digital functions on the stream of data and then communicate the results through a standard digital interface. The ability to develop standard products with the broadest possible customer application base while being cost efficient with the silicon area of the monolithic CMOS integrated circuit requires a keen sense of customer value and engineering capabilities. Additionally, to manage the wide variety of signals on a monolithic piece of silicon including electrical noise, harmonics and other electronic distortions requires a fundamental knowledge of device physics and accumulated design expertise.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Software Expertise</w:t>
      </w:r>
    </w:p>
    <w:p>
      <w:pPr>
        <w:spacing w:after="0" w:line="218" w:lineRule="exact"/>
        <w:rPr>
          <w:sz w:val="20"/>
          <w:szCs w:val="20"/>
          <w:color w:val="auto"/>
        </w:rPr>
      </w:pPr>
    </w:p>
    <w:p>
      <w:pPr>
        <w:ind w:right="360" w:firstLine="319"/>
        <w:spacing w:after="0" w:line="294" w:lineRule="auto"/>
        <w:rPr>
          <w:sz w:val="20"/>
          <w:szCs w:val="20"/>
          <w:color w:val="auto"/>
        </w:rPr>
      </w:pPr>
      <w:r>
        <w:rPr>
          <w:rFonts w:ascii="Arial" w:cs="Arial" w:eastAsia="Arial" w:hAnsi="Arial"/>
          <w:sz w:val="16"/>
          <w:szCs w:val="16"/>
          <w:color w:val="auto"/>
        </w:rPr>
        <w:t>Our software expertise allows us to develop products for markets where intelligent data capture, high-performance processing and communication are increasingly important product differentiators. The software we have developed to address these markets enables machine-to-machine communications, providing intelligence to electronic systems. Our products integrate high-performance, low-power wireless and microcontroller ICs with reliable and scalable software into a flexible and robust networking platform.</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100" w:firstLine="319"/>
        <w:spacing w:after="0" w:line="253" w:lineRule="auto"/>
        <w:rPr>
          <w:sz w:val="20"/>
          <w:szCs w:val="20"/>
          <w:color w:val="auto"/>
        </w:rPr>
      </w:pPr>
      <w:r>
        <w:rPr>
          <w:rFonts w:ascii="Arial" w:cs="Arial" w:eastAsia="Arial" w:hAnsi="Arial"/>
          <w:sz w:val="18"/>
          <w:szCs w:val="18"/>
          <w:color w:val="auto"/>
        </w:rPr>
        <w:t>The demand for low-power, small-footprint wireless technology is accelerating as more and more IP-enabled end points are being connected to the IoT. Our software enables a broad range of power-sensitive applications for the IoT, including smart energy, home automation, security and other connected products. We believe that the combination of our software and IC design expertise differentiates us from many of our competitors.</w:t>
      </w:r>
    </w:p>
    <w:p>
      <w:pPr>
        <w:spacing w:after="0" w:line="190" w:lineRule="exact"/>
        <w:rPr>
          <w:sz w:val="20"/>
          <w:szCs w:val="20"/>
          <w:color w:val="auto"/>
        </w:rPr>
      </w:pPr>
    </w:p>
    <w:p>
      <w:pPr>
        <w:ind w:right="140" w:firstLine="319"/>
        <w:spacing w:after="0" w:line="287" w:lineRule="auto"/>
        <w:rPr>
          <w:sz w:val="20"/>
          <w:szCs w:val="20"/>
          <w:color w:val="auto"/>
        </w:rPr>
      </w:pPr>
      <w:r>
        <w:rPr>
          <w:rFonts w:ascii="Arial" w:cs="Arial" w:eastAsia="Arial" w:hAnsi="Arial"/>
          <w:sz w:val="16"/>
          <w:szCs w:val="16"/>
          <w:color w:val="auto"/>
        </w:rPr>
        <w:t>As the IoT continues to mature, a new class of embedded applications is emerging, presenting feature-rich and task-intensive use cases. This growing complexity is driving the need for real-time operating systems to help simplify software development for IoT applications by coordinating and prioritizing multiprotocol connectivity, SoC peripherals and other system-level activities. In addition to being able to manage numerous application tasks, an RTOS enhances scalability, and makes complex applications predictable and reliable. To address these application needs, we acquired Micrium, an embedded RTOS provider. Micrium has established itself as a reliable, high performance and trusted RTOS software platform, with an installed base that has grown to millions of devices.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Module Integration and Wireless Design Expertise</w:t>
      </w:r>
    </w:p>
    <w:p>
      <w:pPr>
        <w:spacing w:after="0" w:line="218" w:lineRule="exact"/>
        <w:rPr>
          <w:sz w:val="20"/>
          <w:szCs w:val="20"/>
          <w:color w:val="auto"/>
        </w:rPr>
      </w:pPr>
    </w:p>
    <w:p>
      <w:pPr>
        <w:jc w:val="both"/>
        <w:ind w:right="440" w:firstLine="319"/>
        <w:spacing w:after="0" w:line="253" w:lineRule="auto"/>
        <w:rPr>
          <w:sz w:val="20"/>
          <w:szCs w:val="20"/>
          <w:color w:val="auto"/>
        </w:rPr>
      </w:pPr>
      <w:r>
        <w:rPr>
          <w:rFonts w:ascii="Arial" w:cs="Arial" w:eastAsia="Arial" w:hAnsi="Arial"/>
          <w:sz w:val="18"/>
          <w:szCs w:val="18"/>
          <w:color w:val="auto"/>
        </w:rPr>
        <w:t>The market for wireless modules has grown as customers search for solutions that provide turnkey wireless connectivity for their products. The development of modules is difficult due to stringent requirements, including high levels of integration, programmability, performance, reliability, security and power efficiency. In addition, designs must meet numerous wireless standards deployed in various environments and serving diverse requirements.</w:t>
      </w:r>
    </w:p>
    <w:p>
      <w:pPr>
        <w:spacing w:after="0" w:line="190" w:lineRule="exact"/>
        <w:rPr>
          <w:sz w:val="20"/>
          <w:szCs w:val="20"/>
          <w:color w:val="auto"/>
        </w:rPr>
      </w:pPr>
    </w:p>
    <w:p>
      <w:pPr>
        <w:ind w:right="80" w:firstLine="319"/>
        <w:spacing w:after="0" w:line="251" w:lineRule="auto"/>
        <w:rPr>
          <w:sz w:val="20"/>
          <w:szCs w:val="20"/>
          <w:color w:val="auto"/>
        </w:rPr>
      </w:pPr>
      <w:r>
        <w:rPr>
          <w:rFonts w:ascii="Arial" w:cs="Arial" w:eastAsia="Arial" w:hAnsi="Arial"/>
          <w:sz w:val="18"/>
          <w:szCs w:val="18"/>
          <w:color w:val="auto"/>
        </w:rPr>
        <w:t>Our combined expertise in IC design and software development allows us to engineer modules that provide robust, high-performance connections in challenging wireless environments. We have developed wireless modules based on numerous wireless standards, including Z-Wave, Bluetooth, Zigbee, Thread, Wi-Fi and sub-GHz. We believe our demonstrated proficiency in the design of modules provides our customers with significant advantages such as fast time to market, reduced development cost, global wireless certifications and software reuse.</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Silicon-to-Cloud Security Integration Expertise</w:t>
      </w:r>
    </w:p>
    <w:p>
      <w:pPr>
        <w:spacing w:after="0" w:line="218" w:lineRule="exact"/>
        <w:rPr>
          <w:sz w:val="20"/>
          <w:szCs w:val="20"/>
          <w:color w:val="auto"/>
        </w:rPr>
      </w:pPr>
    </w:p>
    <w:p>
      <w:pPr>
        <w:ind w:firstLine="319"/>
        <w:spacing w:after="0" w:line="266" w:lineRule="auto"/>
        <w:rPr>
          <w:sz w:val="20"/>
          <w:szCs w:val="20"/>
          <w:color w:val="auto"/>
        </w:rPr>
      </w:pPr>
      <w:r>
        <w:rPr>
          <w:rFonts w:ascii="Arial" w:cs="Arial" w:eastAsia="Arial" w:hAnsi="Arial"/>
          <w:sz w:val="17"/>
          <w:szCs w:val="17"/>
          <w:color w:val="auto"/>
        </w:rPr>
        <w:t>Security is of paramount importance to our customers. More than ever before, device manufacturers and OEMs developing IoT products have specific needs to ensure their solutions are secure. Security is a complex endeavor involving the convergence of multiple integrated hardware and software technologies. IoT products are designed to ensure the devices operate in a trusted and reliable manner, enforce policies as well as protect the confidentiality, authenticity and integrity of data and private information being processed and transmitted. The building blocks are built in hardware based on dedicated IC security components integrated into SoC designs. These specialized security components are designed to enhance cryptographic capabilities and exploit unique physical characteristics of CMOS to establish foundations of trust and enable device identity and assurance.</w:t>
      </w:r>
    </w:p>
    <w:p>
      <w:pPr>
        <w:spacing w:after="0" w:line="184" w:lineRule="exact"/>
        <w:rPr>
          <w:sz w:val="20"/>
          <w:szCs w:val="20"/>
          <w:color w:val="auto"/>
        </w:rPr>
      </w:pPr>
    </w:p>
    <w:p>
      <w:pPr>
        <w:ind w:right="80" w:firstLine="319"/>
        <w:spacing w:after="0" w:line="266" w:lineRule="auto"/>
        <w:rPr>
          <w:sz w:val="20"/>
          <w:szCs w:val="20"/>
          <w:color w:val="auto"/>
        </w:rPr>
      </w:pPr>
      <w:r>
        <w:rPr>
          <w:rFonts w:ascii="Arial" w:cs="Arial" w:eastAsia="Arial" w:hAnsi="Arial"/>
          <w:sz w:val="17"/>
          <w:szCs w:val="17"/>
          <w:color w:val="auto"/>
        </w:rPr>
        <w:t>In addition to developing specific security hardware and software capabilities, we also focus design and engineering efforts on technologies that simplify and accelerate adoption by customers of security features engineered into our silicon chips. This is primarily achieved through software tools such as Simplicity Studio and its integration with cloud-based services that simplify implementation, reduce complexity and enable management of security for fleets of devices. Those capabilities are designed to help customers develop products and solutions with chip-to-cloud security integration, enable faster time to market and reduce security defects, risks and losses due to security attacks and incidents. We are creating innovative security solutions that enable customers to develop best-in-class, simple and economical solutions. We will continue investing in security-specific research and development that addresses a dynamic threat landscape, emerging regulatory requirements, and evolving customer security and privacy needs.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Understanding of Systems Technology and Trends</w:t>
      </w:r>
    </w:p>
    <w:p>
      <w:pPr>
        <w:spacing w:after="0" w:line="218" w:lineRule="exact"/>
        <w:rPr>
          <w:sz w:val="20"/>
          <w:szCs w:val="20"/>
          <w:color w:val="auto"/>
        </w:rPr>
      </w:pPr>
    </w:p>
    <w:p>
      <w:pPr>
        <w:ind w:right="140" w:firstLine="319"/>
        <w:spacing w:after="0" w:line="303" w:lineRule="auto"/>
        <w:rPr>
          <w:sz w:val="20"/>
          <w:szCs w:val="20"/>
          <w:color w:val="auto"/>
        </w:rPr>
      </w:pPr>
      <w:r>
        <w:rPr>
          <w:rFonts w:ascii="Arial" w:cs="Arial" w:eastAsia="Arial" w:hAnsi="Arial"/>
          <w:sz w:val="16"/>
          <w:szCs w:val="16"/>
          <w:color w:val="auto"/>
        </w:rPr>
        <w:t>Our focused expertise in mixed-signal ICs is the result of the breadth of engineering talent we have assembled with experience working in analog-intensive CMOS design for a wide variety of applications. This expertise, which we consider a competitive advantage, is the foundation of our in-depth understanding of the technology and trends that impact electronic systems and markets. Our expertise includes:</w:t>
      </w:r>
    </w:p>
    <w:p>
      <w:pPr>
        <w:spacing w:after="0" w:line="154" w:lineRule="exact"/>
        <w:rPr>
          <w:sz w:val="20"/>
          <w:szCs w:val="20"/>
          <w:color w:val="auto"/>
        </w:rPr>
      </w:pPr>
    </w:p>
    <w:p>
      <w:pPr>
        <w:ind w:left="660" w:hanging="317"/>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Isolation, which is critical for existing and emerging industrial, hybrid and hybrid-electric applications and telecom networks;</w:t>
      </w:r>
    </w:p>
    <w:p>
      <w:pPr>
        <w:spacing w:after="0" w:line="123" w:lineRule="exact"/>
        <w:rPr>
          <w:rFonts w:ascii="Arial" w:cs="Arial" w:eastAsia="Arial" w:hAnsi="Arial"/>
          <w:sz w:val="17"/>
          <w:szCs w:val="17"/>
          <w:color w:val="auto"/>
        </w:rPr>
      </w:pPr>
    </w:p>
    <w:p>
      <w:pPr>
        <w:ind w:left="660" w:hanging="31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Frequency synthesis, which is core technology for wireless and clocking applications;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which enables the elimination of discrete components in a system;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660" w:right="720" w:hanging="317"/>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Signal processing and precision analog, which forms the heart of consumer, industrial, medical and automotive electronics applications.</w:t>
      </w:r>
    </w:p>
    <w:p>
      <w:pPr>
        <w:spacing w:after="0" w:line="179" w:lineRule="exact"/>
        <w:rPr>
          <w:sz w:val="20"/>
          <w:szCs w:val="20"/>
          <w:color w:val="auto"/>
        </w:rPr>
      </w:pPr>
    </w:p>
    <w:p>
      <w:pPr>
        <w:ind w:right="100" w:firstLine="319"/>
        <w:spacing w:after="0" w:line="266" w:lineRule="auto"/>
        <w:rPr>
          <w:sz w:val="20"/>
          <w:szCs w:val="20"/>
          <w:color w:val="auto"/>
        </w:rPr>
      </w:pPr>
      <w:r>
        <w:rPr>
          <w:rFonts w:ascii="Arial" w:cs="Arial" w:eastAsia="Arial" w:hAnsi="Arial"/>
          <w:sz w:val="18"/>
          <w:szCs w:val="18"/>
          <w:color w:val="auto"/>
        </w:rPr>
        <w:t>Our understanding of the role of analog/digital interfaces within electronic systems, standards evolution, and end market drivers enables us to identify product development opportunities and capitalize on market trends.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4" w:lineRule="exact"/>
        <w:rPr>
          <w:sz w:val="20"/>
          <w:szCs w:val="20"/>
          <w:color w:val="auto"/>
        </w:rPr>
      </w:pPr>
    </w:p>
    <w:p>
      <w:pPr>
        <w:ind w:right="60" w:firstLine="319"/>
        <w:spacing w:after="0" w:line="283" w:lineRule="auto"/>
        <w:rPr>
          <w:sz w:val="20"/>
          <w:szCs w:val="20"/>
          <w:color w:val="auto"/>
        </w:rPr>
      </w:pPr>
      <w:r>
        <w:rPr>
          <w:rFonts w:ascii="Arial" w:cs="Arial" w:eastAsia="Arial" w:hAnsi="Arial"/>
          <w:sz w:val="16"/>
          <w:szCs w:val="16"/>
          <w:color w:val="auto"/>
        </w:rPr>
        <w:t>As a fabless semiconductor company, we conduct IC design and development in our facilities and electronically transfer our proprietary IC designs to third-party semiconductor fabricators who process silicon wafers to produce the ICs that we design. Our IC designs typically use industry-standard CMOS manufacturing process technology to achieve a level of performance normally associated with more expensive special-purpose IC fabrication technology. We believe the use of CMOS technology facilitates the rapid production of our ICs within a lower cost framework. Our IC production employs submicron process geometries which are readily available from leading foundry suppliers worldwide, thus increasing the likelihood that manufacturing capacity will be available throughout our products’ life cycles. We currently partner primarily with Taiwan Semiconductor Manufacturing Co. (TSMC) and Semiconductor Manufacturing International Corporation (SMIC) to manufacture the majority of our semiconductor wafers. We believe that our fabless manufacturing model significantly reduces our capital requirements and allows us to focus our resources on design, development and marketing of our ICs.</w:t>
      </w:r>
    </w:p>
    <w:p>
      <w:pPr>
        <w:spacing w:after="0" w:line="174" w:lineRule="exact"/>
        <w:rPr>
          <w:sz w:val="20"/>
          <w:szCs w:val="20"/>
          <w:color w:val="auto"/>
        </w:rPr>
      </w:pPr>
    </w:p>
    <w:p>
      <w:pPr>
        <w:ind w:firstLine="319"/>
        <w:spacing w:after="0" w:line="251" w:lineRule="auto"/>
        <w:rPr>
          <w:sz w:val="20"/>
          <w:szCs w:val="20"/>
          <w:color w:val="auto"/>
        </w:rPr>
      </w:pPr>
      <w:r>
        <w:rPr>
          <w:rFonts w:ascii="Arial" w:cs="Arial" w:eastAsia="Arial" w:hAnsi="Arial"/>
          <w:sz w:val="18"/>
          <w:szCs w:val="18"/>
          <w:color w:val="auto"/>
        </w:rPr>
        <w:t>Once the silicon wafers have been produced, they are shipped directly to our third-party assembly subcontractors. The assembled ICs are then moved to the final testing stage. This operation can be performed by the same contractor that assembled the IC, other third-party test subcontractors or within our internal facilities prior to shipping to our customers. During fiscal 2019, most of our units shipped were tested by offshore third-party test subcontractors. We expect that our utilization of offshore third-party test subcontractors will remain substantial during fiscal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4" w:lineRule="exact"/>
        <w:rPr>
          <w:sz w:val="20"/>
          <w:szCs w:val="20"/>
          <w:color w:val="auto"/>
        </w:rPr>
      </w:pPr>
    </w:p>
    <w:p>
      <w:pPr>
        <w:ind w:firstLine="319"/>
        <w:spacing w:after="0" w:line="251" w:lineRule="auto"/>
        <w:rPr>
          <w:sz w:val="20"/>
          <w:szCs w:val="20"/>
          <w:color w:val="auto"/>
        </w:rPr>
      </w:pPr>
      <w:r>
        <w:rPr>
          <w:rFonts w:ascii="Arial" w:cs="Arial" w:eastAsia="Arial" w:hAnsi="Arial"/>
          <w:sz w:val="18"/>
          <w:szCs w:val="18"/>
          <w:color w:val="auto"/>
        </w:rPr>
        <w:t>We include in backlog accepted product purchase orders from customers and worldwide distributor stocking orders. Product orders in our backlog are subject to changes in delivery schedules or cancellation at the option of the purchaser typically without penalty. Our backlog may fluctuate significantly depending upon customer order patterns which may, in turn, vary considerably based on rapidly changing business circumstances. Accordingly, we do not believe that our backlog at any time is necessarily representative of actual sales for any succeeding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4" w:lineRule="exact"/>
        <w:rPr>
          <w:sz w:val="20"/>
          <w:szCs w:val="20"/>
          <w:color w:val="auto"/>
        </w:rPr>
      </w:pPr>
    </w:p>
    <w:p>
      <w:pPr>
        <w:ind w:right="280" w:firstLine="319"/>
        <w:spacing w:after="0" w:line="256" w:lineRule="auto"/>
        <w:rPr>
          <w:sz w:val="20"/>
          <w:szCs w:val="20"/>
          <w:color w:val="auto"/>
        </w:rPr>
      </w:pPr>
      <w:r>
        <w:rPr>
          <w:rFonts w:ascii="Arial" w:cs="Arial" w:eastAsia="Arial" w:hAnsi="Arial"/>
          <w:sz w:val="18"/>
          <w:szCs w:val="18"/>
          <w:color w:val="auto"/>
        </w:rPr>
        <w:t>The markets for semiconductors generally, and for analog and mixed-signal ICs in particular, are intensely competitive. We anticipate that the market for our products will continually evolve and will be subject to rapid technological change. We believe the principal competitive factors in our industry are:</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Product size;</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3780" w:type="dxa"/>
            <w:vAlign w:val="bottom"/>
          </w:tcPr>
          <w:p>
            <w:pPr>
              <w:ind w:left="100"/>
              <w:spacing w:after="0"/>
              <w:rPr>
                <w:sz w:val="20"/>
                <w:szCs w:val="20"/>
                <w:color w:val="auto"/>
              </w:rPr>
            </w:pPr>
            <w:r>
              <w:rPr>
                <w:rFonts w:ascii="Arial" w:cs="Arial" w:eastAsia="Arial" w:hAnsi="Arial"/>
                <w:sz w:val="18"/>
                <w:szCs w:val="18"/>
                <w:color w:val="auto"/>
              </w:rPr>
              <w:t>Power requirement;</w:t>
            </w:r>
          </w:p>
        </w:tc>
      </w:tr>
      <w:tr>
        <w:trPr>
          <w:trHeight w:val="21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Level of integration;</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3780" w:type="dxa"/>
            <w:vAlign w:val="bottom"/>
          </w:tcPr>
          <w:p>
            <w:pPr>
              <w:ind w:left="100"/>
              <w:spacing w:after="0"/>
              <w:rPr>
                <w:sz w:val="20"/>
                <w:szCs w:val="20"/>
                <w:color w:val="auto"/>
              </w:rPr>
            </w:pPr>
            <w:r>
              <w:rPr>
                <w:rFonts w:ascii="Arial" w:cs="Arial" w:eastAsia="Arial" w:hAnsi="Arial"/>
                <w:sz w:val="18"/>
                <w:szCs w:val="18"/>
                <w:color w:val="auto"/>
              </w:rPr>
              <w:t>Customer support;</w:t>
            </w:r>
          </w:p>
        </w:tc>
      </w:tr>
      <w:tr>
        <w:trPr>
          <w:trHeight w:val="21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Product capabilities;</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3780" w:type="dxa"/>
            <w:vAlign w:val="bottom"/>
          </w:tcPr>
          <w:p>
            <w:pPr>
              <w:ind w:left="100"/>
              <w:spacing w:after="0"/>
              <w:rPr>
                <w:sz w:val="20"/>
                <w:szCs w:val="20"/>
                <w:color w:val="auto"/>
              </w:rPr>
            </w:pPr>
            <w:r>
              <w:rPr>
                <w:rFonts w:ascii="Arial" w:cs="Arial" w:eastAsia="Arial" w:hAnsi="Arial"/>
                <w:sz w:val="18"/>
                <w:szCs w:val="18"/>
                <w:color w:val="auto"/>
              </w:rPr>
              <w:t>Reputation;</w:t>
            </w:r>
          </w:p>
        </w:tc>
      </w:tr>
      <w:tr>
        <w:trPr>
          <w:trHeight w:val="21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Reliability;</w:t>
            </w:r>
          </w:p>
        </w:tc>
        <w:tc>
          <w:tcPr>
            <w:tcW w:w="4840" w:type="dxa"/>
            <w:vAlign w:val="bottom"/>
            <w:gridSpan w:val="2"/>
          </w:tcPr>
          <w:p>
            <w:pPr>
              <w:ind w:left="880"/>
              <w:spacing w:after="0"/>
              <w:rPr>
                <w:sz w:val="20"/>
                <w:szCs w:val="20"/>
                <w:color w:val="auto"/>
              </w:rPr>
            </w:pPr>
            <w:r>
              <w:rPr>
                <w:rFonts w:ascii="Arial" w:cs="Arial" w:eastAsia="Arial" w:hAnsi="Arial"/>
                <w:sz w:val="18"/>
                <w:szCs w:val="18"/>
                <w:color w:val="auto"/>
                <w:w w:val="93"/>
              </w:rPr>
              <w:t>●  Ability to rapidly introduce new products to market;</w:t>
            </w:r>
          </w:p>
        </w:tc>
      </w:tr>
      <w:tr>
        <w:trPr>
          <w:trHeight w:val="21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Price;</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3780" w:type="dxa"/>
            <w:vAlign w:val="bottom"/>
          </w:tcPr>
          <w:p>
            <w:pPr>
              <w:ind w:left="100"/>
              <w:spacing w:after="0"/>
              <w:rPr>
                <w:sz w:val="20"/>
                <w:szCs w:val="20"/>
                <w:color w:val="auto"/>
              </w:rPr>
            </w:pPr>
            <w:r>
              <w:rPr>
                <w:rFonts w:ascii="Arial" w:cs="Arial" w:eastAsia="Arial" w:hAnsi="Arial"/>
                <w:sz w:val="18"/>
                <w:szCs w:val="18"/>
                <w:color w:val="auto"/>
              </w:rPr>
              <w:t>Intellectual property; and</w:t>
            </w:r>
          </w:p>
        </w:tc>
      </w:tr>
      <w:tr>
        <w:trPr>
          <w:trHeight w:val="2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Performance;</w:t>
            </w:r>
          </w:p>
        </w:tc>
        <w:tc>
          <w:tcPr>
            <w:tcW w:w="1060" w:type="dxa"/>
            <w:vAlign w:val="bottom"/>
          </w:tcPr>
          <w:p>
            <w:pPr>
              <w:ind w:left="880"/>
              <w:spacing w:after="0"/>
              <w:rPr>
                <w:sz w:val="20"/>
                <w:szCs w:val="20"/>
                <w:color w:val="auto"/>
              </w:rPr>
            </w:pPr>
            <w:r>
              <w:rPr>
                <w:rFonts w:ascii="Arial" w:cs="Arial" w:eastAsia="Arial" w:hAnsi="Arial"/>
                <w:sz w:val="18"/>
                <w:szCs w:val="18"/>
                <w:color w:val="auto"/>
              </w:rPr>
              <w:t>●</w:t>
            </w:r>
          </w:p>
        </w:tc>
        <w:tc>
          <w:tcPr>
            <w:tcW w:w="3780" w:type="dxa"/>
            <w:vAlign w:val="bottom"/>
          </w:tcPr>
          <w:p>
            <w:pPr>
              <w:ind w:left="100"/>
              <w:spacing w:after="0"/>
              <w:rPr>
                <w:sz w:val="20"/>
                <w:szCs w:val="20"/>
                <w:color w:val="auto"/>
              </w:rPr>
            </w:pPr>
            <w:r>
              <w:rPr>
                <w:rFonts w:ascii="Arial" w:cs="Arial" w:eastAsia="Arial" w:hAnsi="Arial"/>
                <w:sz w:val="18"/>
                <w:szCs w:val="18"/>
                <w:color w:val="auto"/>
              </w:rPr>
              <w:t>Software.</w:t>
            </w:r>
          </w:p>
        </w:tc>
      </w:tr>
    </w:tbl>
    <w:p>
      <w:pPr>
        <w:spacing w:after="0" w:line="201" w:lineRule="exact"/>
        <w:rPr>
          <w:sz w:val="20"/>
          <w:szCs w:val="20"/>
          <w:color w:val="auto"/>
        </w:rPr>
      </w:pPr>
    </w:p>
    <w:p>
      <w:pPr>
        <w:ind w:right="80" w:firstLine="319"/>
        <w:spacing w:after="0" w:line="269" w:lineRule="auto"/>
        <w:rPr>
          <w:sz w:val="20"/>
          <w:szCs w:val="20"/>
          <w:color w:val="auto"/>
        </w:rPr>
      </w:pPr>
      <w:r>
        <w:rPr>
          <w:rFonts w:ascii="Arial" w:cs="Arial" w:eastAsia="Arial" w:hAnsi="Arial"/>
          <w:sz w:val="17"/>
          <w:szCs w:val="17"/>
          <w:color w:val="auto"/>
        </w:rPr>
        <w:t>We believe that we are competitive with respect to these factors, particularly because our ICs typically are smaller in size, are highly integrated, achieve high performance specifications at lower price points than competitive products and are manufactured in standard CMOS which generally enables us to supply them on a relatively rapid basis to customers to meet their product introduction schedules. However, disadvantages we face include our relatively short operating history in certain of our markets and the need for customers to redesign their products and modify their software to implement our ICs in their products.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20" w:firstLine="319"/>
        <w:spacing w:after="0" w:line="283" w:lineRule="auto"/>
        <w:rPr>
          <w:sz w:val="20"/>
          <w:szCs w:val="20"/>
          <w:color w:val="auto"/>
        </w:rPr>
      </w:pPr>
      <w:r>
        <w:rPr>
          <w:rFonts w:ascii="Arial" w:cs="Arial" w:eastAsia="Arial" w:hAnsi="Arial"/>
          <w:sz w:val="16"/>
          <w:szCs w:val="16"/>
          <w:color w:val="auto"/>
        </w:rPr>
        <w:t>Due to our diversified product portfolio and the numerous markets and applications we serve, we target a relatively large number of competitors. We compete with AltoBeam, Analog Devices, Aura, Broadcom, Cypress, Dialog, Espressif, Infineon, Maxim Integrated Products, MaxLinear, MediaTek, Microchip, Nordic Semiconductor, NXP, Qualcomm, Rafael, Renesas, STMicroelectronics, Synaptics, Telink, Texas Instruments and others. We expect to face competition in the future from our current competitors, other manufacturers and designers of semiconductors and start-up semiconductor design companies. Our competitors may also offer bundled solutions offering a more complete product, which may negatively impact our competitive position despite the technical merits or advantages of our products. In addition, our customers could develop products or technologies internally that would replace their need for our products and would become a source of competition. We could also face competition from module makers or other systems suppliers that may include mixed-signal components in their products that could eliminate the need for our ICs.</w:t>
      </w:r>
    </w:p>
    <w:p>
      <w:pPr>
        <w:spacing w:after="0" w:line="174" w:lineRule="exact"/>
        <w:rPr>
          <w:sz w:val="20"/>
          <w:szCs w:val="20"/>
          <w:color w:val="auto"/>
        </w:rPr>
      </w:pPr>
    </w:p>
    <w:p>
      <w:pPr>
        <w:ind w:right="180" w:firstLine="319"/>
        <w:spacing w:after="0" w:line="290" w:lineRule="auto"/>
        <w:rPr>
          <w:sz w:val="20"/>
          <w:szCs w:val="20"/>
          <w:color w:val="auto"/>
        </w:rPr>
      </w:pPr>
      <w:r>
        <w:rPr>
          <w:rFonts w:ascii="Arial" w:cs="Arial" w:eastAsia="Arial" w:hAnsi="Arial"/>
          <w:sz w:val="16"/>
          <w:szCs w:val="16"/>
          <w:color w:val="auto"/>
        </w:rPr>
        <w:t>Many of our competitors and potential competitors have longer operating histories, greater name recognition, access to larger customer bases, complementary product offerings, and significantly greater financial, sales and marketing, manufacturing, distribution, technical and other resources than us. Current and potential competitors have established or may establish financial and strategic relationships between themselves or with our existing or potential customers, resellers or other third parties. Accordingly, it is possible that new competitors or alliances among competitors could emerge and rapidly acquire significant market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4" w:lineRule="exact"/>
        <w:rPr>
          <w:sz w:val="20"/>
          <w:szCs w:val="20"/>
          <w:color w:val="auto"/>
        </w:rPr>
      </w:pPr>
    </w:p>
    <w:p>
      <w:pPr>
        <w:ind w:right="40" w:firstLine="319"/>
        <w:spacing w:after="0" w:line="266" w:lineRule="auto"/>
        <w:rPr>
          <w:sz w:val="20"/>
          <w:szCs w:val="20"/>
          <w:color w:val="auto"/>
        </w:rPr>
      </w:pPr>
      <w:r>
        <w:rPr>
          <w:rFonts w:ascii="Arial" w:cs="Arial" w:eastAsia="Arial" w:hAnsi="Arial"/>
          <w:sz w:val="17"/>
          <w:szCs w:val="17"/>
          <w:color w:val="auto"/>
        </w:rPr>
        <w:t>Our future success depends in part upon our proprietary technology. We seek to protect our technology through a combination of patents, copyrights, trade secrets, trademarks and confidentiality procedures. As of December 28, 2019, we had approximately 1,771 issued or pending United States and foreign patents. There can be no assurance that patents will ever be issued with respect to our patent applications. Furthermore, it is possible that any patents held by us may be invalidated, circumvented, challenged or licensed to others. In addition, there can be no assurance that such patents will provide us with competitive advantages or adequately safeguard our proprietary rights. While we continue to file new patent applications with respect to our recent developments, existing patents are granted for prescribed time periods and will expire at various times in the future.</w:t>
      </w:r>
    </w:p>
    <w:p>
      <w:pPr>
        <w:spacing w:after="0" w:line="184" w:lineRule="exact"/>
        <w:rPr>
          <w:sz w:val="20"/>
          <w:szCs w:val="20"/>
          <w:color w:val="auto"/>
        </w:rPr>
      </w:pPr>
    </w:p>
    <w:p>
      <w:pPr>
        <w:ind w:firstLine="319"/>
        <w:spacing w:after="0" w:line="266" w:lineRule="auto"/>
        <w:rPr>
          <w:sz w:val="20"/>
          <w:szCs w:val="20"/>
          <w:color w:val="auto"/>
        </w:rPr>
      </w:pPr>
      <w:r>
        <w:rPr>
          <w:rFonts w:ascii="Arial" w:cs="Arial" w:eastAsia="Arial" w:hAnsi="Arial"/>
          <w:sz w:val="17"/>
          <w:szCs w:val="17"/>
          <w:color w:val="auto"/>
        </w:rPr>
        <w:t>We claim copyright protection for proprietary documentation for our products. We have filed for registration, or are in the process of filing for registration, the visual images of certain ICs with the U.S. Copyright Office. We have registered the “Silicon Labs” logo and a variety of other product and product family names as trademarks in the United States and selected foreign jurisdictions. All other trademarks, service marks or trade names appearing in this report are the property of their respective owners. We also attempt to protect our trade secrets and other proprietary information through agreements with our customers, suppliers, employees and consultants, and through other customary security measures. We intend to protect our rights vigorously, but there can be no assurance that our efforts will be successful. In addition, the laws of other countries in which our products are sold may not protect our products and intellectual property rights to the same extent as the laws of the United States.</w:t>
      </w:r>
    </w:p>
    <w:p>
      <w:pPr>
        <w:spacing w:after="0" w:line="180" w:lineRule="exact"/>
        <w:rPr>
          <w:sz w:val="20"/>
          <w:szCs w:val="20"/>
          <w:color w:val="auto"/>
        </w:rPr>
      </w:pPr>
    </w:p>
    <w:p>
      <w:pPr>
        <w:jc w:val="both"/>
        <w:ind w:right="480" w:firstLine="319"/>
        <w:spacing w:after="0" w:line="256" w:lineRule="auto"/>
        <w:rPr>
          <w:sz w:val="20"/>
          <w:szCs w:val="20"/>
          <w:color w:val="auto"/>
        </w:rPr>
      </w:pPr>
      <w:r>
        <w:rPr>
          <w:rFonts w:ascii="Arial" w:cs="Arial" w:eastAsia="Arial" w:hAnsi="Arial"/>
          <w:sz w:val="18"/>
          <w:szCs w:val="18"/>
          <w:color w:val="auto"/>
        </w:rPr>
        <w:t>While our ability to effectively compete depends in large part on our ability to protect our intellectual property, we believe that our technical expertise and ability to introduce new products in a timely manner will be an important factor in maintaining our competitive position.</w:t>
      </w:r>
    </w:p>
    <w:p>
      <w:pPr>
        <w:spacing w:after="0" w:line="188" w:lineRule="exact"/>
        <w:rPr>
          <w:sz w:val="20"/>
          <w:szCs w:val="20"/>
          <w:color w:val="auto"/>
        </w:rPr>
      </w:pPr>
    </w:p>
    <w:p>
      <w:pPr>
        <w:ind w:firstLine="319"/>
        <w:spacing w:after="0" w:line="290" w:lineRule="auto"/>
        <w:rPr>
          <w:sz w:val="20"/>
          <w:szCs w:val="20"/>
          <w:color w:val="auto"/>
        </w:rPr>
      </w:pPr>
      <w:r>
        <w:rPr>
          <w:rFonts w:ascii="Arial" w:cs="Arial" w:eastAsia="Arial" w:hAnsi="Arial"/>
          <w:sz w:val="16"/>
          <w:szCs w:val="16"/>
          <w:color w:val="auto"/>
        </w:rPr>
        <w:t>Many participants in the semiconductor and electronics industries have a significant number of patents and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any valid and infringed patents from third parties on commercially reasonable terms, if at all. Litigation, regardless of the outcome, is likely to result in substantial cost and diversion of our resources, including our management’s time. Any such litigation could materially adversely affect us.</w:t>
      </w:r>
    </w:p>
    <w:p>
      <w:pPr>
        <w:spacing w:after="0" w:line="164" w:lineRule="exact"/>
        <w:rPr>
          <w:sz w:val="20"/>
          <w:szCs w:val="20"/>
          <w:color w:val="auto"/>
        </w:rPr>
      </w:pPr>
    </w:p>
    <w:p>
      <w:pPr>
        <w:ind w:right="500" w:firstLine="319"/>
        <w:spacing w:after="0" w:line="266" w:lineRule="auto"/>
        <w:rPr>
          <w:sz w:val="20"/>
          <w:szCs w:val="20"/>
          <w:color w:val="auto"/>
        </w:rPr>
      </w:pPr>
      <w:r>
        <w:rPr>
          <w:rFonts w:ascii="Arial" w:cs="Arial" w:eastAsia="Arial" w:hAnsi="Arial"/>
          <w:sz w:val="18"/>
          <w:szCs w:val="18"/>
          <w:color w:val="auto"/>
        </w:rPr>
        <w:t>Our licenses include industry standard licenses with our vendors, such as wafer fabrication tool libraries, third-party core libraries, computer-aided design applications and business software applications.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4" w:lineRule="exact"/>
        <w:rPr>
          <w:sz w:val="20"/>
          <w:szCs w:val="20"/>
          <w:color w:val="auto"/>
        </w:rPr>
      </w:pPr>
    </w:p>
    <w:p>
      <w:pPr>
        <w:jc w:val="both"/>
        <w:ind w:right="280" w:firstLine="319"/>
        <w:spacing w:after="0" w:line="253" w:lineRule="auto"/>
        <w:rPr>
          <w:sz w:val="20"/>
          <w:szCs w:val="20"/>
          <w:color w:val="auto"/>
        </w:rPr>
      </w:pPr>
      <w:r>
        <w:rPr>
          <w:rFonts w:ascii="Arial" w:cs="Arial" w:eastAsia="Arial" w:hAnsi="Arial"/>
          <w:sz w:val="18"/>
          <w:szCs w:val="18"/>
          <w:color w:val="auto"/>
        </w:rPr>
        <w:t>As of December 28, 2019, we employed 1,545 people. Our success depends on the continued service of our key technical and senior management personnel and on our ability to continue to attract, retain and motivate highly skilled analog and mixed-signal engineers. The competition for such personnel is intense. We have never had a work stoppage and none of our U.S. employees are represented by a labor organization. We consider our employee relations to be good.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4"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color w:val="auto"/>
        </w:rPr>
        <w:t>Federal, state and local regulations impose various environmental controls on the storage, use, discharge and disposal of certain chemicals and gases used in the semiconductor industry. Our compliance with these laws and regulations has not had a material impact on our financial position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4" w:lineRule="exact"/>
        <w:rPr>
          <w:sz w:val="20"/>
          <w:szCs w:val="20"/>
          <w:color w:val="auto"/>
        </w:rPr>
      </w:pPr>
    </w:p>
    <w:p>
      <w:pPr>
        <w:ind w:right="100" w:firstLine="319"/>
        <w:spacing w:after="0" w:line="269" w:lineRule="auto"/>
        <w:rPr>
          <w:sz w:val="20"/>
          <w:szCs w:val="20"/>
          <w:color w:val="auto"/>
        </w:rPr>
      </w:pPr>
      <w:r>
        <w:rPr>
          <w:rFonts w:ascii="Arial" w:cs="Arial" w:eastAsia="Arial" w:hAnsi="Arial"/>
          <w:sz w:val="17"/>
          <w:szCs w:val="17"/>
          <w:color w:val="auto"/>
        </w:rPr>
        <w:t>Our website address is www.silabs.com. Our annual report on Form 10-K, quarterly reports on Form 10-Q, current reports on Form 8-K and amendments to those reports filed or furnished pursuant to Section 13(a) or 15(d) of the Securities Exchange Act of 1934 are available through the investor relations page of our website free of charge as soon as reasonably practicable after we electronically file such material with, or furnish it to, the Securities and Exchange Commission (SEC). Our website and the information contained therein or connected thereto are not intended to be incorporated into this Annual Report on Form 10-K.</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8"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173" w:lineRule="exact"/>
        <w:rPr>
          <w:sz w:val="20"/>
          <w:szCs w:val="20"/>
          <w:color w:val="auto"/>
        </w:rPr>
      </w:pPr>
    </w:p>
    <w:p>
      <w:pPr>
        <w:ind w:right="60" w:firstLine="319"/>
        <w:spacing w:after="0" w:line="272" w:lineRule="auto"/>
        <w:rPr>
          <w:sz w:val="20"/>
          <w:szCs w:val="20"/>
          <w:color w:val="auto"/>
        </w:rPr>
      </w:pPr>
      <w:r>
        <w:rPr>
          <w:rFonts w:ascii="Arial" w:cs="Arial" w:eastAsia="Arial" w:hAnsi="Arial"/>
          <w:sz w:val="17"/>
          <w:szCs w:val="17"/>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In some future period our revenues or operating results may be below the expectations of public market analysts or investors. If this occurs, our stock price may drop, perhaps significantly.</w:t>
      </w:r>
    </w:p>
    <w:p>
      <w:pPr>
        <w:spacing w:after="0" w:line="177" w:lineRule="exact"/>
        <w:rPr>
          <w:sz w:val="20"/>
          <w:szCs w:val="20"/>
          <w:color w:val="auto"/>
        </w:rPr>
      </w:pPr>
    </w:p>
    <w:p>
      <w:pPr>
        <w:ind w:right="480" w:firstLine="319"/>
        <w:spacing w:after="0" w:line="266" w:lineRule="auto"/>
        <w:rPr>
          <w:sz w:val="20"/>
          <w:szCs w:val="20"/>
          <w:color w:val="auto"/>
        </w:rPr>
      </w:pPr>
      <w:r>
        <w:rPr>
          <w:rFonts w:ascii="Arial" w:cs="Arial" w:eastAsia="Arial" w:hAnsi="Arial"/>
          <w:sz w:val="18"/>
          <w:szCs w:val="18"/>
          <w:color w:val="auto"/>
        </w:rPr>
        <w:t>A number of factors, in addition to those cited in other risk factors applicable to our business, may contribute to fluctuations in our revenues and operating results, including:</w:t>
      </w:r>
    </w:p>
    <w:p>
      <w:pPr>
        <w:spacing w:after="0" w:line="179" w:lineRule="exact"/>
        <w:rPr>
          <w:sz w:val="20"/>
          <w:szCs w:val="20"/>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volume of orders received from our customers;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timeliness of our new product introductions and the rate at which our new products may cannibalize our older products;</w:t>
      </w:r>
    </w:p>
    <w:p>
      <w:pPr>
        <w:spacing w:after="0" w:line="123" w:lineRule="exact"/>
        <w:rPr>
          <w:rFonts w:ascii="Arial" w:cs="Arial" w:eastAsia="Arial" w:hAnsi="Arial"/>
          <w:sz w:val="17"/>
          <w:szCs w:val="17"/>
          <w:color w:val="auto"/>
        </w:rPr>
      </w:pPr>
    </w:p>
    <w:p>
      <w:pPr>
        <w:ind w:left="660" w:right="120" w:hanging="317"/>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acceptance of our products by our customers, including the acceptance of new products we may develop for integration in the products manufactured by such customers, which we refer to as “design wins”;</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lag and realization rate between “design wins” and production orders;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and life cycles of, the products incorporating our mixed-signal solutions;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of adoption of mixed-signal products in the markets we target;</w:t>
      </w:r>
    </w:p>
    <w:p>
      <w:pPr>
        <w:spacing w:after="0" w:line="111" w:lineRule="exact"/>
        <w:rPr>
          <w:rFonts w:ascii="Arial" w:cs="Arial" w:eastAsia="Arial" w:hAnsi="Arial"/>
          <w:sz w:val="18"/>
          <w:szCs w:val="18"/>
          <w:color w:val="auto"/>
        </w:rPr>
      </w:pPr>
    </w:p>
    <w:p>
      <w:pPr>
        <w:ind w:left="660" w:right="180" w:hanging="317"/>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Deferrals or reductions of customer orders in anticipation of new products or product enhancements from us or our competitors or other providers of mixed-signal ICs;</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average selling prices for our products could drop suddenly due to competitive offerings or competitive predatory pricing;</w:t>
      </w:r>
    </w:p>
    <w:p>
      <w:pPr>
        <w:spacing w:after="0" w:line="123" w:lineRule="exact"/>
        <w:rPr>
          <w:rFonts w:ascii="Arial" w:cs="Arial" w:eastAsia="Arial" w:hAnsi="Arial"/>
          <w:sz w:val="17"/>
          <w:szCs w:val="17"/>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selling prices for our products generally decline over time;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standards;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charges related to inventory, equipment or other long-lived assets;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software used in our products, including software provided by third parties, may not meet the needs of our customers;</w:t>
      </w:r>
    </w:p>
    <w:p>
      <w:pPr>
        <w:spacing w:after="0" w:line="123" w:lineRule="exact"/>
        <w:rPr>
          <w:rFonts w:ascii="Arial" w:cs="Arial" w:eastAsia="Arial" w:hAnsi="Arial"/>
          <w:sz w:val="17"/>
          <w:szCs w:val="17"/>
          <w:color w:val="auto"/>
        </w:rPr>
      </w:pPr>
    </w:p>
    <w:p>
      <w:pPr>
        <w:ind w:left="660" w:right="40" w:hanging="317"/>
        <w:spacing w:after="0" w:line="29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customers may not be able to obtain other components such as capacitors (which are currently in short supply) that they need to incorporate in conjunction with our products, leading to potential downturn in the demand for our products;</w:t>
      </w:r>
    </w:p>
    <w:p>
      <w:pPr>
        <w:spacing w:after="0" w:line="51" w:lineRule="exact"/>
        <w:rPr>
          <w:rFonts w:ascii="Arial" w:cs="Arial" w:eastAsia="Arial" w:hAnsi="Arial"/>
          <w:sz w:val="17"/>
          <w:szCs w:val="17"/>
          <w:color w:val="auto"/>
        </w:rPr>
      </w:pPr>
    </w:p>
    <w:p>
      <w:pPr>
        <w:ind w:left="660" w:hanging="31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legal costs to defend our intellectual property rights or respond to claims against us; 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660" w:right="80" w:hanging="317"/>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at which new markets emerge for products we are currently developing or for which our design expertise can be utilized to develop products for these new markets.</w:t>
      </w:r>
    </w:p>
    <w:p>
      <w:pPr>
        <w:spacing w:after="0" w:line="179" w:lineRule="exact"/>
        <w:rPr>
          <w:sz w:val="20"/>
          <w:szCs w:val="20"/>
          <w:color w:val="auto"/>
        </w:rPr>
      </w:pPr>
    </w:p>
    <w:p>
      <w:pPr>
        <w:ind w:right="120" w:firstLine="319"/>
        <w:spacing w:after="0" w:line="266" w:lineRule="auto"/>
        <w:rPr>
          <w:sz w:val="20"/>
          <w:szCs w:val="20"/>
          <w:color w:val="auto"/>
        </w:rPr>
      </w:pPr>
      <w:r>
        <w:rPr>
          <w:rFonts w:ascii="Arial" w:cs="Arial" w:eastAsia="Arial" w:hAnsi="Arial"/>
          <w:sz w:val="17"/>
          <w:szCs w:val="17"/>
          <w:color w:val="auto"/>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74"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173" w:lineRule="exact"/>
        <w:rPr>
          <w:sz w:val="20"/>
          <w:szCs w:val="20"/>
          <w:color w:val="auto"/>
        </w:rPr>
      </w:pPr>
    </w:p>
    <w:p>
      <w:pPr>
        <w:ind w:right="60" w:firstLine="319"/>
        <w:spacing w:after="0" w:line="272" w:lineRule="auto"/>
        <w:rPr>
          <w:sz w:val="20"/>
          <w:szCs w:val="20"/>
          <w:color w:val="auto"/>
        </w:rPr>
      </w:pPr>
      <w:r>
        <w:rPr>
          <w:rFonts w:ascii="Arial" w:cs="Arial" w:eastAsia="Arial" w:hAnsi="Arial"/>
          <w:sz w:val="17"/>
          <w:szCs w:val="17"/>
          <w:color w:val="auto"/>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177" w:lineRule="exact"/>
        <w:rPr>
          <w:sz w:val="20"/>
          <w:szCs w:val="20"/>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of customers;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qualification and certification of our products for use in our customers’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acceptance and volume production of the products into which our ICs will be incorporated;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foundry, assembly and test capacity;</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Achievement of high manufacturing yields;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price, performance, power use and size of our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 service, application support capabilities and responsiveness;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industry standards or end-user preferences;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Cooperation of third-party software providers and our semiconductor vendors to support our chips within a system.</w:t>
      </w:r>
    </w:p>
    <w:p>
      <w:pPr>
        <w:spacing w:after="0" w:line="218" w:lineRule="exact"/>
        <w:rPr>
          <w:sz w:val="20"/>
          <w:szCs w:val="20"/>
          <w:color w:val="auto"/>
        </w:rPr>
      </w:pPr>
    </w:p>
    <w:p>
      <w:pPr>
        <w:ind w:firstLine="319"/>
        <w:spacing w:after="0" w:line="250" w:lineRule="auto"/>
        <w:rPr>
          <w:sz w:val="20"/>
          <w:szCs w:val="20"/>
          <w:color w:val="auto"/>
        </w:rPr>
      </w:pPr>
      <w:r>
        <w:rPr>
          <w:rFonts w:ascii="Arial" w:cs="Arial" w:eastAsia="Arial" w:hAnsi="Arial"/>
          <w:sz w:val="18"/>
          <w:szCs w:val="18"/>
          <w:color w:val="auto"/>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If the industry cannot agree on a common set of standards, then the growth of the IoT market may be slower than expected.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86" w:lineRule="exact"/>
        <w:rPr>
          <w:sz w:val="20"/>
          <w:szCs w:val="20"/>
          <w:color w:val="auto"/>
        </w:rPr>
      </w:pPr>
    </w:p>
    <w:p>
      <w:pPr>
        <w:ind w:right="120" w:firstLine="319"/>
        <w:spacing w:after="0" w:line="283" w:lineRule="auto"/>
        <w:rPr>
          <w:sz w:val="20"/>
          <w:szCs w:val="20"/>
          <w:color w:val="auto"/>
        </w:rPr>
      </w:pPr>
      <w:r>
        <w:rPr>
          <w:rFonts w:ascii="Arial" w:cs="Arial" w:eastAsia="Arial" w:hAnsi="Arial"/>
          <w:sz w:val="16"/>
          <w:szCs w:val="16"/>
          <w:color w:val="auto"/>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fiscal 2019 was $257.2 million, or 30.7%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w:t>
      </w:r>
    </w:p>
    <w:p>
      <w:pPr>
        <w:spacing w:after="0" w:line="163" w:lineRule="exact"/>
        <w:rPr>
          <w:sz w:val="20"/>
          <w:szCs w:val="20"/>
          <w:color w:val="auto"/>
        </w:rPr>
      </w:pPr>
    </w:p>
    <w:p>
      <w:pPr>
        <w:ind w:right="640"/>
        <w:spacing w:after="0" w:line="273" w:lineRule="auto"/>
        <w:rPr>
          <w:sz w:val="20"/>
          <w:szCs w:val="20"/>
          <w:color w:val="auto"/>
        </w:rPr>
      </w:pPr>
      <w:r>
        <w:rPr>
          <w:rFonts w:ascii="Arial" w:cs="Arial" w:eastAsia="Arial" w:hAnsi="Arial"/>
          <w:sz w:val="18"/>
          <w:szCs w:val="18"/>
          <w:b w:val="1"/>
          <w:bCs w:val="1"/>
          <w:color w:val="auto"/>
        </w:rPr>
        <w:t>We are a global company, which subjects us to additional business risks including logistical and financial complexity, political instability and currency fluctuations</w:t>
      </w:r>
    </w:p>
    <w:p>
      <w:pPr>
        <w:spacing w:after="0" w:line="173" w:lineRule="exact"/>
        <w:rPr>
          <w:sz w:val="20"/>
          <w:szCs w:val="20"/>
          <w:color w:val="auto"/>
        </w:rPr>
      </w:pPr>
    </w:p>
    <w:p>
      <w:pPr>
        <w:ind w:right="120" w:firstLine="319"/>
        <w:spacing w:after="0" w:line="269" w:lineRule="auto"/>
        <w:rPr>
          <w:sz w:val="20"/>
          <w:szCs w:val="20"/>
          <w:color w:val="auto"/>
        </w:rPr>
      </w:pPr>
      <w:r>
        <w:rPr>
          <w:rFonts w:ascii="Arial" w:cs="Arial" w:eastAsia="Arial" w:hAnsi="Arial"/>
          <w:sz w:val="17"/>
          <w:szCs w:val="17"/>
          <w:color w:val="auto"/>
        </w:rPr>
        <w:t>We have established international subsidiaries and have opened offices in international markets to support our activities in Asia, the Americas and Europe. This has included the establishment of a headquarters in Singapore for non-U.S. operations. During fiscal 2019, the percentage of our revenues derived from outside of the United States was 87% (and the revenue associated with end customers in China was 24%, and revenue attributed to China based on shipped-to location was 42)%. We may not be able to maintain or increase global market demand for our products. Our international operations are subject to a number of risks, including:</w:t>
      </w:r>
    </w:p>
    <w:p>
      <w:pPr>
        <w:spacing w:after="0" w:line="180" w:lineRule="exact"/>
        <w:rPr>
          <w:sz w:val="20"/>
          <w:szCs w:val="20"/>
          <w:color w:val="auto"/>
        </w:rPr>
      </w:pPr>
    </w:p>
    <w:p>
      <w:pPr>
        <w:ind w:left="660" w:right="20" w:hanging="317"/>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and related tax obligations, including our headquarters for non-U.S. operations in Singapore;</w:t>
      </w:r>
    </w:p>
    <w:p>
      <w:pPr>
        <w:spacing w:after="0" w:line="72" w:lineRule="exact"/>
        <w:rPr>
          <w:rFonts w:ascii="Arial" w:cs="Arial" w:eastAsia="Arial" w:hAnsi="Arial"/>
          <w:sz w:val="18"/>
          <w:szCs w:val="18"/>
          <w:color w:val="auto"/>
        </w:rPr>
      </w:pPr>
    </w:p>
    <w:p>
      <w:pPr>
        <w:ind w:left="660" w:right="20" w:hanging="317"/>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Protectionist laws and business practices, including trade restrictions, tariffs, export controls, quotas and other trade barriers, including China-U.S. trade policies and the potential effects of Brexit;</w:t>
      </w:r>
    </w:p>
    <w:p>
      <w:pPr>
        <w:spacing w:after="0" w:line="72" w:lineRule="exact"/>
        <w:rPr>
          <w:rFonts w:ascii="Arial" w:cs="Arial" w:eastAsia="Arial" w:hAnsi="Arial"/>
          <w:sz w:val="18"/>
          <w:szCs w:val="18"/>
          <w:color w:val="auto"/>
        </w:rPr>
      </w:pPr>
    </w:p>
    <w:p>
      <w:pPr>
        <w:jc w:val="both"/>
        <w:ind w:left="660" w:hanging="317"/>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spacing w:after="0" w:line="81" w:lineRule="exact"/>
        <w:rPr>
          <w:rFonts w:ascii="Arial" w:cs="Arial" w:eastAsia="Arial" w:hAnsi="Arial"/>
          <w:sz w:val="18"/>
          <w:szCs w:val="18"/>
          <w:color w:val="auto"/>
        </w:rPr>
      </w:pPr>
    </w:p>
    <w:p>
      <w:pPr>
        <w:ind w:left="660" w:right="20" w:hanging="317"/>
        <w:spacing w:after="0" w:line="26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tariffs imposed on certain countries and sanctions or export controls imposed on customers or suppliers may affect our ability to sell and source our products;</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related to the protection of our intellectual property rights in some countries;</w:t>
      </w:r>
    </w:p>
    <w:p>
      <w:pPr>
        <w:spacing w:after="0" w:line="111" w:lineRule="exact"/>
        <w:rPr>
          <w:rFonts w:ascii="Arial" w:cs="Arial" w:eastAsia="Arial" w:hAnsi="Arial"/>
          <w:sz w:val="18"/>
          <w:szCs w:val="18"/>
          <w:color w:val="auto"/>
        </w:rPr>
      </w:pPr>
    </w:p>
    <w:p>
      <w:pPr>
        <w:ind w:left="660" w:right="20" w:hanging="317"/>
        <w:spacing w:after="0" w:line="29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Multiple, conflicting and changing tax and other laws and regulations that may impact both our international and domestic tax and other liabilities and result in increased complexity and costs, including the impact of the Tax Cuts and Jobs Act;</w:t>
      </w:r>
    </w:p>
    <w:p>
      <w:pPr>
        <w:spacing w:after="0" w:line="51" w:lineRule="exact"/>
        <w:rPr>
          <w:rFonts w:ascii="Arial" w:cs="Arial" w:eastAsia="Arial" w:hAnsi="Arial"/>
          <w:sz w:val="17"/>
          <w:szCs w:val="17"/>
          <w:color w:val="auto"/>
        </w:rPr>
      </w:pPr>
    </w:p>
    <w:p>
      <w:pPr>
        <w:ind w:left="660" w:hanging="3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 and longer collection periods;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 levels of distributor inventory subject to price protection and rights of return to us;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hiring and retaining qualified personnel;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need to have business and operations systems that can meet the needs of our international business and operating structure.</w:t>
      </w:r>
    </w:p>
    <w:p>
      <w:pPr>
        <w:spacing w:after="0" w:line="241" w:lineRule="exact"/>
        <w:rPr>
          <w:sz w:val="20"/>
          <w:szCs w:val="20"/>
          <w:color w:val="auto"/>
        </w:rPr>
      </w:pPr>
    </w:p>
    <w:p>
      <w:pPr>
        <w:ind w:right="20" w:firstLine="319"/>
        <w:spacing w:after="0" w:line="272" w:lineRule="auto"/>
        <w:rPr>
          <w:sz w:val="20"/>
          <w:szCs w:val="20"/>
          <w:color w:val="auto"/>
        </w:rPr>
      </w:pPr>
      <w:r>
        <w:rPr>
          <w:rFonts w:ascii="Arial" w:cs="Arial" w:eastAsia="Arial" w:hAnsi="Arial"/>
          <w:sz w:val="17"/>
          <w:szCs w:val="17"/>
          <w:color w:val="auto"/>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could reduce our buying power with respect to international suppliers.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Significant litigation over intellectual property in our industry may cause us to become involved in costly and lengthy litigation which could adversely affect our business</w:t>
      </w:r>
    </w:p>
    <w:p>
      <w:pPr>
        <w:spacing w:after="0" w:line="173" w:lineRule="exact"/>
        <w:rPr>
          <w:sz w:val="20"/>
          <w:szCs w:val="20"/>
          <w:color w:val="auto"/>
        </w:rPr>
      </w:pPr>
    </w:p>
    <w:p>
      <w:pPr>
        <w:ind w:firstLine="319"/>
        <w:spacing w:after="0" w:line="266" w:lineRule="auto"/>
        <w:rPr>
          <w:sz w:val="20"/>
          <w:szCs w:val="20"/>
          <w:color w:val="auto"/>
        </w:rPr>
      </w:pPr>
      <w:r>
        <w:rPr>
          <w:rFonts w:ascii="Arial" w:cs="Arial" w:eastAsia="Arial" w:hAnsi="Arial"/>
          <w:sz w:val="17"/>
          <w:szCs w:val="17"/>
          <w:color w:val="auto"/>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 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spacing w:after="0" w:line="184" w:lineRule="exact"/>
        <w:rPr>
          <w:sz w:val="20"/>
          <w:szCs w:val="20"/>
          <w:color w:val="auto"/>
        </w:rPr>
      </w:pPr>
    </w:p>
    <w:p>
      <w:pPr>
        <w:ind w:firstLine="319"/>
        <w:spacing w:after="0" w:line="269" w:lineRule="auto"/>
        <w:rPr>
          <w:sz w:val="20"/>
          <w:szCs w:val="20"/>
          <w:color w:val="auto"/>
        </w:rPr>
      </w:pPr>
      <w:r>
        <w:rPr>
          <w:rFonts w:ascii="Arial" w:cs="Arial" w:eastAsia="Arial" w:hAnsi="Arial"/>
          <w:sz w:val="17"/>
          <w:szCs w:val="17"/>
          <w:color w:val="auto"/>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spacing w:after="0" w:line="180" w:lineRule="exact"/>
        <w:rPr>
          <w:sz w:val="20"/>
          <w:szCs w:val="20"/>
          <w:color w:val="auto"/>
        </w:rPr>
      </w:pPr>
    </w:p>
    <w:p>
      <w:pPr>
        <w:ind w:left="660" w:hanging="31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using, selling or manufacturing certain products, services or processes;</w:t>
      </w:r>
    </w:p>
    <w:p>
      <w:pPr>
        <w:spacing w:after="0" w:line="111" w:lineRule="exact"/>
        <w:rPr>
          <w:rFonts w:ascii="Arial" w:cs="Arial" w:eastAsia="Arial" w:hAnsi="Arial"/>
          <w:sz w:val="18"/>
          <w:szCs w:val="18"/>
          <w:color w:val="auto"/>
        </w:rPr>
      </w:pPr>
    </w:p>
    <w:p>
      <w:pPr>
        <w:ind w:left="660" w:right="240" w:hanging="317"/>
        <w:spacing w:after="0" w:line="26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Attempt to obtain a license, which license may require the payment of substantial royalties or may not be available on reasonable terms or at all;</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Incur significant costs, time delays and lost business opportunities to develop alternative technologies or redesign products; or</w:t>
      </w:r>
    </w:p>
    <w:p>
      <w:pPr>
        <w:spacing w:after="0" w:line="134" w:lineRule="exact"/>
        <w:rPr>
          <w:rFonts w:ascii="Arial" w:cs="Arial" w:eastAsia="Arial" w:hAnsi="Arial"/>
          <w:sz w:val="16"/>
          <w:szCs w:val="16"/>
          <w:color w:val="auto"/>
        </w:rPr>
      </w:pPr>
    </w:p>
    <w:p>
      <w:pPr>
        <w:ind w:left="660" w:hanging="317"/>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Pursue legal remedies with third parties to enforce our indemnification rights, which may not adequately protect our interests.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224" w:lineRule="exact"/>
        <w:rPr>
          <w:sz w:val="20"/>
          <w:szCs w:val="20"/>
          <w:color w:val="auto"/>
        </w:rPr>
      </w:pPr>
    </w:p>
    <w:p>
      <w:pPr>
        <w:ind w:right="100" w:firstLine="319"/>
        <w:spacing w:after="0" w:line="253" w:lineRule="auto"/>
        <w:rPr>
          <w:sz w:val="20"/>
          <w:szCs w:val="20"/>
          <w:color w:val="auto"/>
        </w:rPr>
      </w:pPr>
      <w:r>
        <w:rPr>
          <w:rFonts w:ascii="Arial" w:cs="Arial" w:eastAsia="Arial" w:hAnsi="Arial"/>
          <w:sz w:val="18"/>
          <w:szCs w:val="18"/>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have made and may make in the future entail a number of risks that could materially and adversely affect our business and operating results, including:</w:t>
      </w:r>
    </w:p>
    <w:p>
      <w:pPr>
        <w:spacing w:after="0" w:line="190" w:lineRule="exact"/>
        <w:rPr>
          <w:sz w:val="20"/>
          <w:szCs w:val="20"/>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core business;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Need for financial resources above our planned investment levels;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company;</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the transfer of licenses of intellectual property;</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operating costs due to acquired overhead;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issues associated with acquisitions;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Acquisition-related disputes, including disputes over earn-outs and escrows;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of the acquired company;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impairment of related goodwill and intangible assets.</w:t>
      </w:r>
    </w:p>
    <w:p>
      <w:pPr>
        <w:spacing w:after="0" w:line="218" w:lineRule="exact"/>
        <w:rPr>
          <w:sz w:val="20"/>
          <w:szCs w:val="20"/>
          <w:color w:val="auto"/>
        </w:rPr>
      </w:pPr>
    </w:p>
    <w:p>
      <w:pPr>
        <w:ind w:right="220" w:firstLine="319"/>
        <w:spacing w:after="0" w:line="266" w:lineRule="auto"/>
        <w:rPr>
          <w:sz w:val="20"/>
          <w:szCs w:val="20"/>
          <w:color w:val="auto"/>
        </w:rPr>
      </w:pPr>
      <w:r>
        <w:rPr>
          <w:rFonts w:ascii="Arial" w:cs="Arial" w:eastAsia="Arial" w:hAnsi="Arial"/>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which would negatively affect our ability to compete</w:t>
      </w:r>
    </w:p>
    <w:p>
      <w:pPr>
        <w:spacing w:after="0" w:line="224" w:lineRule="exact"/>
        <w:rPr>
          <w:sz w:val="20"/>
          <w:szCs w:val="20"/>
          <w:color w:val="auto"/>
        </w:rPr>
      </w:pPr>
    </w:p>
    <w:p>
      <w:pPr>
        <w:ind w:firstLine="319"/>
        <w:spacing w:after="0" w:line="327" w:lineRule="auto"/>
        <w:rPr>
          <w:sz w:val="20"/>
          <w:szCs w:val="20"/>
          <w:color w:val="auto"/>
        </w:rPr>
      </w:pPr>
      <w:r>
        <w:rPr>
          <w:rFonts w:ascii="Arial" w:cs="Arial" w:eastAsia="Arial" w:hAnsi="Arial"/>
          <w:sz w:val="14"/>
          <w:szCs w:val="14"/>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manage our distribution channel relationships could impede our future growth</w:t>
      </w:r>
    </w:p>
    <w:p>
      <w:pPr>
        <w:spacing w:after="0" w:line="224" w:lineRule="exact"/>
        <w:rPr>
          <w:sz w:val="20"/>
          <w:szCs w:val="20"/>
          <w:color w:val="auto"/>
        </w:rPr>
      </w:pPr>
    </w:p>
    <w:p>
      <w:pPr>
        <w:ind w:right="20" w:firstLine="319"/>
        <w:spacing w:after="0" w:line="263" w:lineRule="auto"/>
        <w:rPr>
          <w:sz w:val="20"/>
          <w:szCs w:val="20"/>
          <w:color w:val="auto"/>
        </w:rPr>
      </w:pPr>
      <w:r>
        <w:rPr>
          <w:rFonts w:ascii="Arial" w:cs="Arial" w:eastAsia="Arial" w:hAnsi="Arial"/>
          <w:sz w:val="17"/>
          <w:szCs w:val="17"/>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fiscal 2019, 73% of our revenue was derived from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 Because we consolidated our distribution relationships to a single global distributor, Arrow Electronics, in fiscal 2018, termination of the relationship with Arrow Electronics, either by us or by Arrow Electronics, could result in a temporary or permanent loss of revenue. If Arrow Electronics fails to effectively market and sell our products in full compliance with applicable laws, or if we are unable to maintain our existing relationship with Arrow Electronics, we may not be able to find a distributor with the scale and resources of Arrow Electronics, maintain existing levels of international revenue or realize expected long-term international revenue growth. We may not be successful in finding suitable alternative global distributors on satisfactory terms, or at all, and this could adversely affect our ability to effectively sell our solutions in certain geographical locations or to certain end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have long-term commitments from our customers</w:t>
      </w:r>
    </w:p>
    <w:p>
      <w:pPr>
        <w:spacing w:after="0" w:line="224" w:lineRule="exact"/>
        <w:rPr>
          <w:sz w:val="20"/>
          <w:szCs w:val="20"/>
          <w:color w:val="auto"/>
        </w:rPr>
      </w:pPr>
    </w:p>
    <w:p>
      <w:pPr>
        <w:ind w:right="80" w:firstLine="319"/>
        <w:spacing w:after="0" w:line="253" w:lineRule="auto"/>
        <w:rPr>
          <w:sz w:val="20"/>
          <w:szCs w:val="20"/>
          <w:color w:val="auto"/>
        </w:rPr>
      </w:pPr>
      <w:r>
        <w:rPr>
          <w:rFonts w:ascii="Arial" w:cs="Arial" w:eastAsia="Arial" w:hAnsi="Arial"/>
          <w:sz w:val="18"/>
          <w:szCs w:val="18"/>
          <w:color w:val="auto"/>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90" w:lineRule="exact"/>
        <w:rPr>
          <w:sz w:val="20"/>
          <w:szCs w:val="20"/>
          <w:color w:val="auto"/>
        </w:rPr>
      </w:pPr>
    </w:p>
    <w:p>
      <w:pPr>
        <w:ind w:right="320" w:firstLine="319"/>
        <w:spacing w:after="0" w:line="266" w:lineRule="auto"/>
        <w:rPr>
          <w:sz w:val="20"/>
          <w:szCs w:val="20"/>
          <w:color w:val="auto"/>
        </w:rPr>
      </w:pPr>
      <w:r>
        <w:rPr>
          <w:rFonts w:ascii="Arial" w:cs="Arial" w:eastAsia="Arial" w:hAnsi="Arial"/>
          <w:sz w:val="18"/>
          <w:szCs w:val="18"/>
          <w:color w:val="auto"/>
        </w:rPr>
        <w:t>Customers may decide not to purchase our products at all, purchase fewer products than they did in the past, or alter their purchasing patterns, particularly because:</w:t>
      </w:r>
    </w:p>
    <w:p>
      <w:pPr>
        <w:spacing w:after="0" w:line="179" w:lineRule="exact"/>
        <w:rPr>
          <w:sz w:val="20"/>
          <w:szCs w:val="20"/>
          <w:color w:val="auto"/>
        </w:rPr>
      </w:pPr>
    </w:p>
    <w:p>
      <w:pPr>
        <w:ind w:left="660" w:hanging="31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have material long-term purchase contracts with our customers;</w:t>
      </w:r>
    </w:p>
    <w:p>
      <w:pPr>
        <w:spacing w:after="0" w:line="111" w:lineRule="exact"/>
        <w:rPr>
          <w:rFonts w:ascii="Arial" w:cs="Arial" w:eastAsia="Arial" w:hAnsi="Arial"/>
          <w:sz w:val="18"/>
          <w:szCs w:val="18"/>
          <w:color w:val="auto"/>
        </w:rPr>
      </w:pPr>
    </w:p>
    <w:p>
      <w:pPr>
        <w:ind w:left="660" w:right="240" w:hanging="317"/>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Substantially all of our sales to date have been made on a purchase order basis, which permits our customers to cancel, change or delay product purchase commitments with little or no notice to us and without penalty;</w:t>
      </w:r>
    </w:p>
    <w:p>
      <w:pPr>
        <w:spacing w:after="0" w:line="72" w:lineRule="exact"/>
        <w:rPr>
          <w:rFonts w:ascii="Arial" w:cs="Arial" w:eastAsia="Arial" w:hAnsi="Arial"/>
          <w:sz w:val="18"/>
          <w:szCs w:val="18"/>
          <w:color w:val="auto"/>
        </w:rPr>
      </w:pPr>
    </w:p>
    <w:p>
      <w:pPr>
        <w:ind w:left="660" w:right="420" w:hanging="317"/>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Some of our customers may have efforts underway to actively diversify their vendor base which could reduce purchases of our products; and</w:t>
      </w:r>
    </w:p>
    <w:p>
      <w:pPr>
        <w:spacing w:after="0" w:line="72" w:lineRule="exact"/>
        <w:rPr>
          <w:rFonts w:ascii="Arial" w:cs="Arial" w:eastAsia="Arial" w:hAnsi="Arial"/>
          <w:sz w:val="18"/>
          <w:szCs w:val="18"/>
          <w:color w:val="auto"/>
        </w:rPr>
      </w:pPr>
    </w:p>
    <w:p>
      <w:pPr>
        <w:ind w:left="660" w:right="80" w:hanging="317"/>
        <w:spacing w:after="0" w:line="26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173"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66"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b w:val="1"/>
          <w:bCs w:val="1"/>
          <w:color w:val="auto"/>
        </w:rPr>
        <w:t>Our products are complex and may contain errors which could lead to liability, an increase in our costs and/or a reduction in our revenues</w:t>
      </w:r>
    </w:p>
    <w:p>
      <w:pPr>
        <w:spacing w:after="0" w:line="173" w:lineRule="exact"/>
        <w:rPr>
          <w:sz w:val="20"/>
          <w:szCs w:val="20"/>
          <w:color w:val="auto"/>
        </w:rPr>
      </w:pPr>
    </w:p>
    <w:p>
      <w:pPr>
        <w:ind w:right="20" w:firstLine="319"/>
        <w:spacing w:after="0" w:line="251" w:lineRule="auto"/>
        <w:rPr>
          <w:sz w:val="20"/>
          <w:szCs w:val="20"/>
          <w:color w:val="auto"/>
        </w:rPr>
      </w:pPr>
      <w:r>
        <w:rPr>
          <w:rFonts w:ascii="Arial" w:cs="Arial" w:eastAsia="Arial" w:hAnsi="Arial"/>
          <w:sz w:val="18"/>
          <w:szCs w:val="18"/>
          <w:color w:val="auto"/>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spacing w:after="0" w:line="193" w:lineRule="exact"/>
        <w:rPr>
          <w:sz w:val="20"/>
          <w:szCs w:val="20"/>
          <w:color w:val="auto"/>
        </w:rPr>
      </w:pPr>
    </w:p>
    <w:p>
      <w:pPr>
        <w:ind w:right="60" w:firstLine="319"/>
        <w:spacing w:after="0" w:line="251" w:lineRule="auto"/>
        <w:rPr>
          <w:sz w:val="20"/>
          <w:szCs w:val="20"/>
          <w:color w:val="auto"/>
        </w:rPr>
      </w:pPr>
      <w:r>
        <w:rPr>
          <w:rFonts w:ascii="Arial" w:cs="Arial" w:eastAsia="Arial" w:hAnsi="Arial"/>
          <w:sz w:val="18"/>
          <w:szCs w:val="18"/>
          <w:color w:val="auto"/>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spacing w:after="0" w:line="193" w:lineRule="exact"/>
        <w:rPr>
          <w:sz w:val="20"/>
          <w:szCs w:val="20"/>
          <w:color w:val="auto"/>
        </w:rPr>
      </w:pPr>
    </w:p>
    <w:p>
      <w:pPr>
        <w:ind w:firstLine="319"/>
        <w:spacing w:after="0" w:line="266" w:lineRule="auto"/>
        <w:rPr>
          <w:sz w:val="20"/>
          <w:szCs w:val="20"/>
          <w:color w:val="auto"/>
        </w:rPr>
      </w:pPr>
      <w:r>
        <w:rPr>
          <w:rFonts w:ascii="Arial" w:cs="Arial" w:eastAsia="Arial" w:hAnsi="Arial"/>
          <w:sz w:val="17"/>
          <w:szCs w:val="17"/>
          <w:color w:val="auto"/>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We rely on third parties to manufacture, assemble and test our products and the failure to successfully manage our relationships with our manufacturers and subcontractors would negatively impact our ability to sell our products</w:t>
      </w:r>
    </w:p>
    <w:p>
      <w:pPr>
        <w:spacing w:after="0" w:line="173" w:lineRule="exact"/>
        <w:rPr>
          <w:sz w:val="20"/>
          <w:szCs w:val="20"/>
          <w:color w:val="auto"/>
        </w:rPr>
      </w:pPr>
    </w:p>
    <w:p>
      <w:pPr>
        <w:ind w:right="20" w:firstLine="319"/>
        <w:spacing w:after="0" w:line="272" w:lineRule="auto"/>
        <w:rPr>
          <w:sz w:val="20"/>
          <w:szCs w:val="20"/>
          <w:color w:val="auto"/>
        </w:rPr>
      </w:pPr>
      <w:r>
        <w:rPr>
          <w:rFonts w:ascii="Arial" w:cs="Arial" w:eastAsia="Arial" w:hAnsi="Arial"/>
          <w:sz w:val="17"/>
          <w:szCs w:val="17"/>
          <w:color w:val="auto"/>
        </w:rPr>
        <w:t>We do not have our own wafer fab manufacturing facilities. Therefore, we rely on third-party vendors to manufacture the products we design. We also currently rely on Asian third-party assembly subcontractors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77" w:lineRule="exact"/>
        <w:rPr>
          <w:sz w:val="20"/>
          <w:szCs w:val="20"/>
          <w:color w:val="auto"/>
        </w:rPr>
      </w:pPr>
    </w:p>
    <w:p>
      <w:pPr>
        <w:ind w:right="120" w:firstLine="319"/>
        <w:spacing w:after="0" w:line="294" w:lineRule="auto"/>
        <w:rPr>
          <w:sz w:val="20"/>
          <w:szCs w:val="20"/>
          <w:color w:val="auto"/>
        </w:rPr>
      </w:pPr>
      <w:r>
        <w:rPr>
          <w:rFonts w:ascii="Arial" w:cs="Arial" w:eastAsia="Arial" w:hAnsi="Arial"/>
          <w:sz w:val="16"/>
          <w:szCs w:val="16"/>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significant risks associated with relying on these third-party foundries and subcontractors, including:</w:t>
      </w:r>
    </w:p>
    <w:p>
      <w:pPr>
        <w:spacing w:after="0" w:line="218" w:lineRule="exact"/>
        <w:rPr>
          <w:sz w:val="20"/>
          <w:szCs w:val="20"/>
          <w:color w:val="auto"/>
        </w:rPr>
      </w:pPr>
    </w:p>
    <w:p>
      <w:pPr>
        <w:ind w:left="660" w:hanging="31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us, our customers or their end customers to qualify a selected supplier;</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insolvency of the third-party subcontractors;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control over delivery schedules and quality;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660" w:hanging="3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increases in prices or payments in advance for capacity;</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need for international-based supply, logistics and financial management;</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Their inability to supply or support new or changing packaging technologies;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 test yields.</w:t>
      </w:r>
    </w:p>
    <w:p>
      <w:pPr>
        <w:spacing w:after="0" w:line="218" w:lineRule="exact"/>
        <w:rPr>
          <w:sz w:val="20"/>
          <w:szCs w:val="20"/>
          <w:color w:val="auto"/>
        </w:rPr>
      </w:pPr>
    </w:p>
    <w:p>
      <w:pPr>
        <w:ind w:right="380" w:firstLine="319"/>
        <w:spacing w:after="0" w:line="250" w:lineRule="auto"/>
        <w:rPr>
          <w:sz w:val="20"/>
          <w:szCs w:val="20"/>
          <w:color w:val="auto"/>
        </w:rPr>
      </w:pPr>
      <w:r>
        <w:rPr>
          <w:rFonts w:ascii="Arial" w:cs="Arial" w:eastAsia="Arial" w:hAnsi="Arial"/>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w:t>
      </w:r>
    </w:p>
    <w:p>
      <w:pPr>
        <w:spacing w:after="0" w:line="195" w:lineRule="exact"/>
        <w:rPr>
          <w:sz w:val="20"/>
          <w:szCs w:val="20"/>
          <w:color w:val="auto"/>
        </w:rPr>
      </w:pPr>
    </w:p>
    <w:p>
      <w:pPr>
        <w:ind w:right="40" w:firstLine="319"/>
        <w:spacing w:after="0" w:line="268" w:lineRule="auto"/>
        <w:rPr>
          <w:sz w:val="20"/>
          <w:szCs w:val="20"/>
          <w:color w:val="auto"/>
        </w:rPr>
      </w:pPr>
      <w:r>
        <w:rPr>
          <w:rFonts w:ascii="Arial" w:cs="Arial" w:eastAsia="Arial" w:hAnsi="Arial"/>
          <w:sz w:val="17"/>
          <w:szCs w:val="17"/>
          <w:color w:val="auto"/>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Our customers require our products to undergo a lengthy and expensive qualification process without any assurance of product sales</w:t>
      </w:r>
    </w:p>
    <w:p>
      <w:pPr>
        <w:spacing w:after="0" w:line="270" w:lineRule="exact"/>
        <w:rPr>
          <w:sz w:val="20"/>
          <w:szCs w:val="20"/>
          <w:color w:val="auto"/>
        </w:rPr>
      </w:pPr>
    </w:p>
    <w:p>
      <w:pPr>
        <w:ind w:firstLine="319"/>
        <w:spacing w:after="0" w:line="283" w:lineRule="auto"/>
        <w:rPr>
          <w:sz w:val="20"/>
          <w:szCs w:val="20"/>
          <w:color w:val="auto"/>
        </w:rPr>
      </w:pPr>
      <w:r>
        <w:rPr>
          <w:rFonts w:ascii="Arial" w:cs="Arial" w:eastAsia="Arial" w:hAnsi="Arial"/>
          <w:sz w:val="16"/>
          <w:szCs w:val="16"/>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manage growth could materially and adversely affect our business</w:t>
      </w:r>
    </w:p>
    <w:p>
      <w:pPr>
        <w:spacing w:after="0" w:line="224" w:lineRule="exact"/>
        <w:rPr>
          <w:sz w:val="20"/>
          <w:szCs w:val="20"/>
          <w:color w:val="auto"/>
        </w:rPr>
      </w:pPr>
    </w:p>
    <w:p>
      <w:pPr>
        <w:ind w:right="20" w:firstLine="319"/>
        <w:spacing w:after="0" w:line="283" w:lineRule="auto"/>
        <w:rPr>
          <w:sz w:val="20"/>
          <w:szCs w:val="20"/>
          <w:color w:val="auto"/>
        </w:rPr>
      </w:pPr>
      <w:r>
        <w:rPr>
          <w:rFonts w:ascii="Arial" w:cs="Arial" w:eastAsia="Arial" w:hAnsi="Arial"/>
          <w:sz w:val="16"/>
          <w:szCs w:val="16"/>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We have recently had a material weakness in our internal control over financial reporting and if we are unable to implement and maintain effective internal control over financial reporting, or our independent registered public accounting firm is unable to provide an unqualified report thereon, we could be materially adversely effected</w:t>
      </w:r>
    </w:p>
    <w:p>
      <w:pPr>
        <w:spacing w:after="0" w:line="186" w:lineRule="exact"/>
        <w:rPr>
          <w:sz w:val="20"/>
          <w:szCs w:val="20"/>
          <w:color w:val="auto"/>
        </w:rPr>
      </w:pPr>
    </w:p>
    <w:p>
      <w:pPr>
        <w:ind w:right="300" w:firstLine="319"/>
        <w:spacing w:after="0" w:line="251" w:lineRule="auto"/>
        <w:rPr>
          <w:sz w:val="20"/>
          <w:szCs w:val="20"/>
          <w:color w:val="auto"/>
        </w:rPr>
      </w:pPr>
      <w:r>
        <w:rPr>
          <w:rFonts w:ascii="Arial" w:cs="Arial" w:eastAsia="Arial" w:hAnsi="Arial"/>
          <w:sz w:val="18"/>
          <w:szCs w:val="18"/>
          <w:color w:val="auto"/>
        </w:rPr>
        <w:t>We identified a material weakness that existed as of the end of our fiscal 2018 regarding our internal controls over business combinations, primarily the maintenance of sufficient contemporaneous documentation of management review controls over assumptions used in the valuation of acquired intangible assets and related recording of goodwill. As a result of this material weakness, management concluded that our disclosure controls and procedures and internal control over financial reporting were not effective as of December 29, 2018.</w:t>
      </w:r>
    </w:p>
    <w:p>
      <w:pPr>
        <w:spacing w:after="0" w:line="193" w:lineRule="exact"/>
        <w:rPr>
          <w:sz w:val="20"/>
          <w:szCs w:val="20"/>
          <w:color w:val="auto"/>
        </w:rPr>
      </w:pPr>
    </w:p>
    <w:p>
      <w:pPr>
        <w:ind w:right="20" w:firstLine="319"/>
        <w:spacing w:after="0" w:line="269" w:lineRule="auto"/>
        <w:rPr>
          <w:sz w:val="20"/>
          <w:szCs w:val="20"/>
          <w:color w:val="auto"/>
        </w:rPr>
      </w:pPr>
      <w:r>
        <w:rPr>
          <w:rFonts w:ascii="Arial" w:cs="Arial" w:eastAsia="Arial" w:hAnsi="Arial"/>
          <w:sz w:val="17"/>
          <w:szCs w:val="17"/>
          <w:color w:val="auto"/>
        </w:rPr>
        <w:t>This material weakness has been remediated. However, should new material weaknesses arise or be discovered in the future, material misstatements could occur and go undetected in our interim or annual consolidated financial statements and we may be required to restate our financial statements. In addition, we may experience delays in satisfying our reporting obligations or to comply with Securities and Exchange Commission rules and regulations, which could result in investigations and sanctions by regulatory authorities. Any of these results could adversely affect our business and the value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incorporate technology licensed from third parties</w:t>
      </w:r>
    </w:p>
    <w:p>
      <w:pPr>
        <w:spacing w:after="0" w:line="224" w:lineRule="exact"/>
        <w:rPr>
          <w:sz w:val="20"/>
          <w:szCs w:val="20"/>
          <w:color w:val="auto"/>
        </w:rPr>
      </w:pPr>
    </w:p>
    <w:p>
      <w:pPr>
        <w:ind w:right="40" w:firstLine="319"/>
        <w:spacing w:after="0" w:line="287" w:lineRule="auto"/>
        <w:rPr>
          <w:sz w:val="20"/>
          <w:szCs w:val="20"/>
          <w:color w:val="auto"/>
        </w:rPr>
      </w:pPr>
      <w:r>
        <w:rPr>
          <w:rFonts w:ascii="Arial" w:cs="Arial" w:eastAsia="Arial" w:hAnsi="Arial"/>
          <w:sz w:val="16"/>
          <w:szCs w:val="16"/>
          <w:color w:val="auto"/>
        </w:rPr>
        <w:t xml:space="preserve">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See </w:t>
      </w:r>
      <w:r>
        <w:rPr>
          <w:rFonts w:ascii="Arial" w:cs="Arial" w:eastAsia="Arial" w:hAnsi="Arial"/>
          <w:sz w:val="16"/>
          <w:szCs w:val="16"/>
          <w:i w:val="1"/>
          <w:iCs w:val="1"/>
          <w:color w:val="auto"/>
        </w:rPr>
        <w:t>Significant litigation over intellectual property in our industry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 cause us to become involved in costly and lengthy litigation which could seriously harm our business. </w:t>
      </w:r>
      <w:r>
        <w:rPr>
          <w:rFonts w:ascii="Arial" w:cs="Arial" w:eastAsia="Arial" w:hAnsi="Arial"/>
          <w:sz w:val="16"/>
          <w:szCs w:val="16"/>
          <w:color w:val="auto"/>
        </w:rPr>
        <w:t>Furthermore, any failure of third-party technology to perform properly would adversely affect sales of our products incorporating such technology.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w:t>
      </w:r>
    </w:p>
    <w:p>
      <w:pPr>
        <w:spacing w:after="0" w:line="224" w:lineRule="exact"/>
        <w:rPr>
          <w:sz w:val="20"/>
          <w:szCs w:val="20"/>
          <w:color w:val="auto"/>
        </w:rPr>
      </w:pPr>
    </w:p>
    <w:p>
      <w:pPr>
        <w:ind w:right="140" w:firstLine="319"/>
        <w:spacing w:after="0" w:line="250" w:lineRule="auto"/>
        <w:rPr>
          <w:sz w:val="20"/>
          <w:szCs w:val="20"/>
          <w:color w:val="auto"/>
        </w:rPr>
      </w:pPr>
      <w:r>
        <w:rPr>
          <w:rFonts w:ascii="Arial" w:cs="Arial" w:eastAsia="Arial" w:hAnsi="Arial"/>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95" w:lineRule="exact"/>
        <w:rPr>
          <w:sz w:val="20"/>
          <w:szCs w:val="20"/>
          <w:color w:val="auto"/>
        </w:rPr>
      </w:pPr>
    </w:p>
    <w:p>
      <w:pPr>
        <w:ind w:left="660" w:hanging="3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demand for any of our more significant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products to achieve continued market acceptance;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Competitive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technological standards or changes to existing standards that we are unable to address with our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failure to release new products or enhanced versions of our existing products on a timely basis;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of our new products to achieve market acceptance.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credit risks related to our accounts receivable</w:t>
      </w:r>
    </w:p>
    <w:p>
      <w:pPr>
        <w:spacing w:after="0" w:line="224" w:lineRule="exact"/>
        <w:rPr>
          <w:sz w:val="20"/>
          <w:szCs w:val="20"/>
          <w:color w:val="auto"/>
        </w:rPr>
      </w:pPr>
    </w:p>
    <w:p>
      <w:pPr>
        <w:ind w:right="220" w:firstLine="319"/>
        <w:spacing w:after="0" w:line="294" w:lineRule="auto"/>
        <w:rPr>
          <w:sz w:val="20"/>
          <w:szCs w:val="20"/>
          <w:color w:val="auto"/>
        </w:rPr>
      </w:pPr>
      <w:r>
        <w:rPr>
          <w:rFonts w:ascii="Arial" w:cs="Arial" w:eastAsia="Arial" w:hAnsi="Arial"/>
          <w:sz w:val="16"/>
          <w:szCs w:val="16"/>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right="40"/>
        <w:spacing w:after="0" w:line="337" w:lineRule="auto"/>
        <w:rPr>
          <w:sz w:val="20"/>
          <w:szCs w:val="20"/>
          <w:color w:val="auto"/>
        </w:rPr>
      </w:pPr>
      <w:r>
        <w:rPr>
          <w:rFonts w:ascii="Arial" w:cs="Arial" w:eastAsia="Arial" w:hAnsi="Arial"/>
          <w:sz w:val="16"/>
          <w:szCs w:val="16"/>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27" w:lineRule="exact"/>
        <w:rPr>
          <w:sz w:val="20"/>
          <w:szCs w:val="20"/>
          <w:color w:val="auto"/>
        </w:rPr>
      </w:pPr>
    </w:p>
    <w:p>
      <w:pPr>
        <w:ind w:firstLine="319"/>
        <w:spacing w:after="0" w:line="264" w:lineRule="auto"/>
        <w:rPr>
          <w:sz w:val="20"/>
          <w:szCs w:val="20"/>
          <w:color w:val="auto"/>
        </w:rPr>
      </w:pPr>
      <w:r>
        <w:rPr>
          <w:rFonts w:ascii="Arial" w:cs="Arial" w:eastAsia="Arial" w:hAnsi="Arial"/>
          <w:sz w:val="17"/>
          <w:szCs w:val="17"/>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There is currently a shortage of qualified personnel with significant experience in the design, development, manufacturing, marketing and sales of analog and mixed-signal products. In particular, there is a shortage of engineers who are familiar with the intricacies of the design and manufacturability of analog elements, and competition for such personnel is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dispositions could harm our financial condition</w:t>
      </w:r>
    </w:p>
    <w:p>
      <w:pPr>
        <w:spacing w:after="0" w:line="224" w:lineRule="exact"/>
        <w:rPr>
          <w:sz w:val="20"/>
          <w:szCs w:val="20"/>
          <w:color w:val="auto"/>
        </w:rPr>
      </w:pPr>
    </w:p>
    <w:p>
      <w:pPr>
        <w:ind w:right="220" w:firstLine="319"/>
        <w:spacing w:after="0" w:line="266" w:lineRule="auto"/>
        <w:rPr>
          <w:sz w:val="20"/>
          <w:szCs w:val="20"/>
          <w:color w:val="auto"/>
        </w:rPr>
      </w:pPr>
      <w:r>
        <w:rPr>
          <w:rFonts w:ascii="Arial" w:cs="Arial" w:eastAsia="Arial" w:hAnsi="Arial"/>
          <w:sz w:val="18"/>
          <w:szCs w:val="18"/>
          <w:color w:val="auto"/>
        </w:rPr>
        <w:t>Any disposition of a product line would entail a number of risks that could materially and adversely affect our business and operating results, including:</w:t>
      </w:r>
    </w:p>
    <w:p>
      <w:pPr>
        <w:spacing w:after="0" w:line="179" w:lineRule="exact"/>
        <w:rPr>
          <w:sz w:val="20"/>
          <w:szCs w:val="20"/>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time and attention from our core business;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separating the divested business;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to relations with customers who previously purchased products from our disposed product line;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leverage with suppliers due to reduced aggregate volume;</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related to employee relations;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the transfer and licensing of intellectual property;</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risks and other liabilities related to the transition services provided in connection with the disposition;</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issues associated with dispositions;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Disposition-related disputes, including disputes over earn-outs and escrows.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224" w:lineRule="exact"/>
        <w:rPr>
          <w:sz w:val="20"/>
          <w:szCs w:val="20"/>
          <w:color w:val="auto"/>
        </w:rPr>
      </w:pPr>
    </w:p>
    <w:p>
      <w:pPr>
        <w:ind w:right="140" w:firstLine="319"/>
        <w:spacing w:after="0" w:line="266"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79" w:lineRule="exact"/>
        <w:rPr>
          <w:sz w:val="20"/>
          <w:szCs w:val="20"/>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semiconductor companies;</w:t>
      </w:r>
    </w:p>
    <w:p>
      <w:pPr>
        <w:spacing w:after="0" w:line="111" w:lineRule="exact"/>
        <w:rPr>
          <w:rFonts w:ascii="Arial" w:cs="Arial" w:eastAsia="Arial" w:hAnsi="Arial"/>
          <w:sz w:val="18"/>
          <w:szCs w:val="18"/>
          <w:color w:val="auto"/>
        </w:rPr>
      </w:pPr>
    </w:p>
    <w:p>
      <w:pPr>
        <w:ind w:left="660" w:right="100" w:hanging="317"/>
        <w:spacing w:after="0" w:line="26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our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or decrease in sales to, one or more key customers;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large sale of stock by a significant shareholder;</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Dilution from the issuance of our stock in connection with acquisitions;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 or removal of our stock to or from a stock index fund;</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00"/>
          </w:cols>
          <w:pgMar w:left="920" w:top="513" w:right="9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660" w:hanging="31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required expensing of stock awards; and</w:t>
      </w:r>
    </w:p>
    <w:p>
      <w:pPr>
        <w:spacing w:after="0" w:line="111" w:lineRule="exact"/>
        <w:rPr>
          <w:rFonts w:ascii="Arial" w:cs="Arial" w:eastAsia="Arial" w:hAnsi="Arial"/>
          <w:sz w:val="18"/>
          <w:szCs w:val="18"/>
          <w:color w:val="auto"/>
        </w:rPr>
      </w:pPr>
    </w:p>
    <w:p>
      <w:pPr>
        <w:ind w:left="660" w:right="460" w:hanging="317"/>
        <w:spacing w:after="0" w:line="26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required changes in our reported revenue and revenue recognition accounting policy under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179" w:lineRule="exact"/>
        <w:rPr>
          <w:sz w:val="20"/>
          <w:szCs w:val="20"/>
          <w:color w:val="auto"/>
        </w:rPr>
      </w:pPr>
    </w:p>
    <w:p>
      <w:pPr>
        <w:ind w:right="340" w:firstLine="319"/>
        <w:spacing w:after="0" w:line="266" w:lineRule="auto"/>
        <w:rPr>
          <w:sz w:val="20"/>
          <w:szCs w:val="20"/>
          <w:color w:val="auto"/>
        </w:rPr>
      </w:pPr>
      <w:r>
        <w:rPr>
          <w:rFonts w:ascii="Arial" w:cs="Arial" w:eastAsia="Arial" w:hAnsi="Arial"/>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86" w:lineRule="exact"/>
        <w:rPr>
          <w:sz w:val="20"/>
          <w:szCs w:val="20"/>
          <w:color w:val="auto"/>
        </w:rPr>
      </w:pPr>
    </w:p>
    <w:p>
      <w:pPr>
        <w:ind w:firstLine="319"/>
        <w:spacing w:after="0" w:line="249" w:lineRule="auto"/>
        <w:rPr>
          <w:sz w:val="20"/>
          <w:szCs w:val="20"/>
          <w:color w:val="auto"/>
        </w:rPr>
      </w:pPr>
      <w:r>
        <w:rPr>
          <w:rFonts w:ascii="Arial" w:cs="Arial" w:eastAsia="Arial" w:hAnsi="Arial"/>
          <w:sz w:val="18"/>
          <w:szCs w:val="18"/>
          <w:color w:val="auto"/>
        </w:rPr>
        <w:t>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an epidemic,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98" w:lineRule="exact"/>
        <w:rPr>
          <w:sz w:val="20"/>
          <w:szCs w:val="20"/>
          <w:color w:val="auto"/>
        </w:rPr>
      </w:pPr>
    </w:p>
    <w:p>
      <w:pPr>
        <w:ind w:right="60" w:firstLine="319"/>
        <w:spacing w:after="0" w:line="266" w:lineRule="auto"/>
        <w:rPr>
          <w:sz w:val="20"/>
          <w:szCs w:val="20"/>
          <w:color w:val="auto"/>
        </w:rPr>
      </w:pPr>
      <w:r>
        <w:rPr>
          <w:rFonts w:ascii="Arial" w:cs="Arial" w:eastAsia="Arial" w:hAnsi="Arial"/>
          <w:sz w:val="17"/>
          <w:szCs w:val="17"/>
          <w:color w:val="auto"/>
        </w:rPr>
        <w:t>A natural disaster, epidemic, labor strike, war or political unrest where our customers’ facilities are located would likely reduce our sales to such customers. North Korea’s recent geopolitical maneuverings, including nuclear weapons and long-range missile testing, have created unrest. Such unrest could create economic uncertainty or instability, could escalate to war or otherwise adversely affect South Korea and our South Korean customers and reduce our sales to such customers, which would materially and adversely affect our operating results.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spacing w:after="0" w:line="186" w:lineRule="exact"/>
        <w:rPr>
          <w:sz w:val="20"/>
          <w:szCs w:val="20"/>
          <w:color w:val="auto"/>
        </w:rPr>
      </w:pPr>
    </w:p>
    <w:p>
      <w:pPr>
        <w:ind w:right="40" w:firstLine="319"/>
        <w:spacing w:after="0" w:line="287" w:lineRule="auto"/>
        <w:rPr>
          <w:sz w:val="20"/>
          <w:szCs w:val="20"/>
          <w:color w:val="auto"/>
        </w:rPr>
      </w:pPr>
      <w:r>
        <w:rPr>
          <w:rFonts w:ascii="Arial" w:cs="Arial" w:eastAsia="Arial" w:hAnsi="Arial"/>
          <w:sz w:val="16"/>
          <w:szCs w:val="16"/>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our customers to support our products, and some of our customers offer competing products</w:t>
      </w:r>
    </w:p>
    <w:p>
      <w:pPr>
        <w:spacing w:after="0" w:line="224" w:lineRule="exact"/>
        <w:rPr>
          <w:sz w:val="20"/>
          <w:szCs w:val="20"/>
          <w:color w:val="auto"/>
        </w:rPr>
      </w:pPr>
    </w:p>
    <w:p>
      <w:pPr>
        <w:ind w:right="40" w:firstLine="319"/>
        <w:spacing w:after="0" w:line="272" w:lineRule="auto"/>
        <w:rPr>
          <w:sz w:val="20"/>
          <w:szCs w:val="20"/>
          <w:color w:val="auto"/>
        </w:rPr>
      </w:pPr>
      <w:r>
        <w:rPr>
          <w:rFonts w:ascii="Arial" w:cs="Arial" w:eastAsia="Arial" w:hAnsi="Arial"/>
          <w:sz w:val="17"/>
          <w:szCs w:val="17"/>
          <w:color w:val="auto"/>
        </w:rPr>
        <w:t>We rely on our customers to provide hardware, software, intellectual property indemnification and other technical support for the products supplied by our customers. If our customers do not provide the required functionality or if our customers do not provide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77" w:lineRule="exact"/>
        <w:rPr>
          <w:sz w:val="20"/>
          <w:szCs w:val="20"/>
          <w:color w:val="auto"/>
        </w:rPr>
      </w:pPr>
    </w:p>
    <w:p>
      <w:pPr>
        <w:ind w:right="220" w:firstLine="319"/>
        <w:spacing w:after="0" w:line="266" w:lineRule="auto"/>
        <w:rPr>
          <w:sz w:val="20"/>
          <w:szCs w:val="20"/>
          <w:color w:val="auto"/>
        </w:rPr>
      </w:pPr>
      <w:r>
        <w:rPr>
          <w:rFonts w:ascii="Arial" w:cs="Arial" w:eastAsia="Arial" w:hAnsi="Arial"/>
          <w:sz w:val="18"/>
          <w:szCs w:val="18"/>
          <w:color w:val="auto"/>
        </w:rPr>
        <w:t>In certain products, some of our customers offer their own competitive products. These customers may find it advantageous to support their own offerings in the marketplace in lieu of promoting our products.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convertible senior notes could adversely affect our operating results and financial condition</w:t>
      </w:r>
    </w:p>
    <w:p>
      <w:pPr>
        <w:spacing w:after="0" w:line="224" w:lineRule="exact"/>
        <w:rPr>
          <w:sz w:val="20"/>
          <w:szCs w:val="20"/>
          <w:color w:val="auto"/>
        </w:rPr>
      </w:pPr>
    </w:p>
    <w:p>
      <w:pPr>
        <w:ind w:right="20" w:firstLine="319"/>
        <w:spacing w:after="0" w:line="269" w:lineRule="auto"/>
        <w:rPr>
          <w:sz w:val="20"/>
          <w:szCs w:val="20"/>
          <w:color w:val="auto"/>
        </w:rPr>
      </w:pPr>
      <w:r>
        <w:rPr>
          <w:rFonts w:ascii="Arial" w:cs="Arial" w:eastAsia="Arial" w:hAnsi="Arial"/>
          <w:sz w:val="17"/>
          <w:szCs w:val="17"/>
          <w:color w:val="auto"/>
        </w:rPr>
        <w:t>Upon conversion, our convertible senior notes may be settled in cash, shares of our common stock or a combination of cash and shares, at our election. We intend to settle the principal amount of the notes in cash. If we do not have adequate cash available, we may not be able to settle the principal amount in cash. In such case, we will be required to settle the principal amount in stock, which would result in immediate, and likely material, dilution to the ownership interests of our existing stockholders. Any sales in the public market of our common stock issuable upon such conversion could adversely affect prevailing market prices of our common stock.</w:t>
      </w:r>
    </w:p>
    <w:p>
      <w:pPr>
        <w:spacing w:after="0" w:line="180" w:lineRule="exact"/>
        <w:rPr>
          <w:sz w:val="20"/>
          <w:szCs w:val="20"/>
          <w:color w:val="auto"/>
        </w:rPr>
      </w:pPr>
    </w:p>
    <w:p>
      <w:pPr>
        <w:jc w:val="both"/>
        <w:ind w:right="20" w:firstLine="319"/>
        <w:spacing w:after="0" w:line="278" w:lineRule="auto"/>
        <w:rPr>
          <w:sz w:val="20"/>
          <w:szCs w:val="20"/>
          <w:color w:val="auto"/>
        </w:rPr>
      </w:pPr>
      <w:r>
        <w:rPr>
          <w:rFonts w:ascii="Arial" w:cs="Arial" w:eastAsia="Arial" w:hAnsi="Arial"/>
          <w:sz w:val="17"/>
          <w:szCs w:val="17"/>
          <w:color w:val="auto"/>
        </w:rPr>
        <w:t>Following any conclusion that we no longer have the ability to settle the convertible senior notes in cash, we will be required on a going forward basis to change our accounting policy for earnings per share from the treasury stock method to the if-converted method. Earnings per share may be lower under the if-converted method as compared to the treasury stock method.</w:t>
      </w:r>
    </w:p>
    <w:p>
      <w:pPr>
        <w:spacing w:after="0" w:line="171" w:lineRule="exact"/>
        <w:rPr>
          <w:sz w:val="20"/>
          <w:szCs w:val="20"/>
          <w:color w:val="auto"/>
        </w:rPr>
      </w:pPr>
    </w:p>
    <w:p>
      <w:pPr>
        <w:ind w:right="40" w:firstLine="319"/>
        <w:spacing w:after="0" w:line="272" w:lineRule="auto"/>
        <w:rPr>
          <w:sz w:val="20"/>
          <w:szCs w:val="20"/>
          <w:color w:val="auto"/>
        </w:rPr>
      </w:pPr>
      <w:r>
        <w:rPr>
          <w:rFonts w:ascii="Arial" w:cs="Arial" w:eastAsia="Arial" w:hAnsi="Arial"/>
          <w:sz w:val="17"/>
          <w:szCs w:val="17"/>
          <w:color w:val="auto"/>
        </w:rPr>
        <w:t>The principal balance of the convertible senior notes was separated into liability and equity components, which were recorded initially at fair value. The excess of the principal amount of the liability component over its carrying amount represents the debt discount, which is accreted to interest expense over the term of the notes using the effective interest method. Accordingly, we will report higher interest expense because of the recognition of both the debt discount amortization and the notes’ coupon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could adversely affect our operations and financial condition</w:t>
      </w:r>
    </w:p>
    <w:p>
      <w:pPr>
        <w:spacing w:after="0" w:line="224" w:lineRule="exact"/>
        <w:rPr>
          <w:sz w:val="20"/>
          <w:szCs w:val="20"/>
          <w:color w:val="auto"/>
        </w:rPr>
      </w:pPr>
    </w:p>
    <w:p>
      <w:pPr>
        <w:ind w:right="40" w:firstLine="319"/>
        <w:spacing w:after="0" w:line="269" w:lineRule="auto"/>
        <w:rPr>
          <w:sz w:val="20"/>
          <w:szCs w:val="20"/>
          <w:color w:val="auto"/>
        </w:rPr>
      </w:pPr>
      <w:r>
        <w:rPr>
          <w:rFonts w:ascii="Arial" w:cs="Arial" w:eastAsia="Arial" w:hAnsi="Arial"/>
          <w:sz w:val="17"/>
          <w:szCs w:val="17"/>
          <w:color w:val="auto"/>
        </w:rPr>
        <w:t>We believe we have the ability to service our debt, but our ability to make the required payments thereunder when due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If we breach any of the covenants under our credit facility and do not obtain appropriate waivers, then, subject to any applicable cure periods, our outstanding indebtedness thereunder could be declared immediately due and payable.</w:t>
      </w:r>
    </w:p>
    <w:p>
      <w:pPr>
        <w:spacing w:after="0" w:line="174"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b w:val="1"/>
          <w:bCs w:val="1"/>
          <w:color w:val="auto"/>
        </w:rPr>
        <w:t>We could seek to raise additional debt or equity capital in the future, but additional capital may not be available on terms acceptable to us, or at all</w:t>
      </w:r>
    </w:p>
    <w:p>
      <w:pPr>
        <w:spacing w:after="0" w:line="173"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If we decide to raise additional funds by issuing equity or convertible debt securities, the ownership percentages of existing shareholders would be reduced.</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We have limited resources compared to some of our current and potential competitors and we may not be able to compete effectively and increase market share</w:t>
      </w:r>
    </w:p>
    <w:p>
      <w:pPr>
        <w:spacing w:after="0" w:line="173" w:lineRule="exact"/>
        <w:rPr>
          <w:sz w:val="20"/>
          <w:szCs w:val="20"/>
          <w:color w:val="auto"/>
        </w:rPr>
      </w:pPr>
    </w:p>
    <w:p>
      <w:pPr>
        <w:ind w:right="20" w:firstLine="319"/>
        <w:spacing w:after="0" w:line="281" w:lineRule="auto"/>
        <w:rPr>
          <w:sz w:val="20"/>
          <w:szCs w:val="20"/>
          <w:color w:val="auto"/>
        </w:rPr>
      </w:pPr>
      <w:r>
        <w:rPr>
          <w:rFonts w:ascii="Arial" w:cs="Arial" w:eastAsia="Arial" w:hAnsi="Arial"/>
          <w:sz w:val="16"/>
          <w:szCs w:val="16"/>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color w:val="auto"/>
        </w:rPr>
        <w:t>Provisions in our charter documents and Delaware law could prevent, delay or impede a change in control of us and may reduce the market price of our common stock</w:t>
      </w:r>
    </w:p>
    <w:p>
      <w:pPr>
        <w:spacing w:after="0" w:line="173" w:lineRule="exact"/>
        <w:rPr>
          <w:sz w:val="20"/>
          <w:szCs w:val="20"/>
          <w:color w:val="auto"/>
        </w:rPr>
      </w:pPr>
    </w:p>
    <w:p>
      <w:pPr>
        <w:ind w:right="520" w:firstLine="319"/>
        <w:spacing w:after="0" w:line="329"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33" w:lineRule="exact"/>
        <w:rPr>
          <w:sz w:val="20"/>
          <w:szCs w:val="20"/>
          <w:color w:val="auto"/>
        </w:rPr>
      </w:pPr>
    </w:p>
    <w:p>
      <w:pPr>
        <w:ind w:left="660" w:hanging="31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to be elected on a staggered basis, one class each year;</w:t>
      </w:r>
    </w:p>
    <w:p>
      <w:pPr>
        <w:spacing w:after="0" w:line="111" w:lineRule="exact"/>
        <w:rPr>
          <w:rFonts w:ascii="Arial" w:cs="Arial" w:eastAsia="Arial" w:hAnsi="Arial"/>
          <w:sz w:val="18"/>
          <w:szCs w:val="18"/>
          <w:color w:val="auto"/>
        </w:rPr>
      </w:pPr>
    </w:p>
    <w:p>
      <w:pPr>
        <w:ind w:left="660" w:right="40" w:hanging="317"/>
        <w:spacing w:after="0" w:line="26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our preferred stock in one or more series without further authorization of our stockholders;</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Elimination of the right of stockholders to call a special meeting of stockholders;</w:t>
      </w:r>
    </w:p>
    <w:p>
      <w:pPr>
        <w:spacing w:after="0" w:line="111" w:lineRule="exact"/>
        <w:rPr>
          <w:rFonts w:ascii="Arial" w:cs="Arial" w:eastAsia="Arial" w:hAnsi="Arial"/>
          <w:sz w:val="18"/>
          <w:szCs w:val="18"/>
          <w:color w:val="auto"/>
        </w:rPr>
      </w:pPr>
    </w:p>
    <w:p>
      <w:pPr>
        <w:ind w:left="660" w:right="620" w:hanging="317"/>
        <w:spacing w:after="0" w:line="26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 and</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requirement that a supermajority vote be obtained to amend or repeal certain provisions of our certificate of incorporation.</w:t>
      </w:r>
    </w:p>
    <w:p>
      <w:pPr>
        <w:spacing w:after="0" w:line="230" w:lineRule="exact"/>
        <w:rPr>
          <w:sz w:val="20"/>
          <w:szCs w:val="20"/>
          <w:color w:val="auto"/>
        </w:rPr>
      </w:pPr>
    </w:p>
    <w:p>
      <w:pPr>
        <w:ind w:right="200" w:firstLine="319"/>
        <w:spacing w:after="0" w:line="266" w:lineRule="auto"/>
        <w:rPr>
          <w:sz w:val="20"/>
          <w:szCs w:val="20"/>
          <w:color w:val="auto"/>
        </w:rPr>
      </w:pPr>
      <w:r>
        <w:rPr>
          <w:rFonts w:ascii="Arial" w:cs="Arial" w:eastAsia="Arial" w:hAnsi="Arial"/>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the cyclical nature of the semiconductor industry, which has been subject to significant fluctuations</w:t>
      </w:r>
    </w:p>
    <w:p>
      <w:pPr>
        <w:spacing w:after="0" w:line="236" w:lineRule="exact"/>
        <w:rPr>
          <w:sz w:val="20"/>
          <w:szCs w:val="20"/>
          <w:color w:val="auto"/>
        </w:rPr>
      </w:pPr>
    </w:p>
    <w:p>
      <w:pPr>
        <w:ind w:firstLine="319"/>
        <w:spacing w:after="0" w:line="264"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and inflation, increased energy costs, decreased consumer confidence, reduced corporate profits, decreased spending and similar adverse business conditions, would make it very difficult for our customers, our vendors, and us to accurately forecast and plan future business activities and could cause U.S. and foreign businesses to slow spending on our products.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89" w:lineRule="exact"/>
        <w:rPr>
          <w:sz w:val="20"/>
          <w:szCs w:val="20"/>
          <w:color w:val="auto"/>
        </w:rPr>
      </w:pPr>
    </w:p>
    <w:p>
      <w:pPr>
        <w:ind w:right="160" w:firstLine="319"/>
        <w:spacing w:after="0" w:line="290" w:lineRule="auto"/>
        <w:rPr>
          <w:sz w:val="20"/>
          <w:szCs w:val="20"/>
          <w:color w:val="auto"/>
        </w:rPr>
      </w:pPr>
      <w:r>
        <w:rPr>
          <w:rFonts w:ascii="Arial" w:cs="Arial" w:eastAsia="Arial" w:hAnsi="Arial"/>
          <w:sz w:val="16"/>
          <w:szCs w:val="16"/>
          <w:color w:val="auto"/>
        </w:rPr>
        <w:t>Downturns have been characterized by diminished product demand, production overcapacity, high inventory levels and accelerated erosion of average selling prices. We believe the semiconductor industry is currently suffering a downturn due in large part to adverse macroeconomic conditions, characterized by a slowdown in overall GDP performance and factory activity in certain regions, particularly in China , higher levels of customer inventory, the impact of tariffs on trade relations, and greater overall uncertainty regarding the economy. This downturn has had, and may continue to have, a material adverse effect on our business and operating results.</w:t>
      </w:r>
    </w:p>
    <w:p>
      <w:pPr>
        <w:spacing w:after="0" w:line="164" w:lineRule="exact"/>
        <w:rPr>
          <w:sz w:val="20"/>
          <w:szCs w:val="20"/>
          <w:color w:val="auto"/>
        </w:rPr>
      </w:pPr>
    </w:p>
    <w:p>
      <w:pPr>
        <w:ind w:right="60" w:firstLine="319"/>
        <w:spacing w:after="0" w:line="253" w:lineRule="auto"/>
        <w:rPr>
          <w:sz w:val="20"/>
          <w:szCs w:val="20"/>
          <w:color w:val="auto"/>
        </w:rPr>
      </w:pPr>
      <w:r>
        <w:rPr>
          <w:rFonts w:ascii="Arial" w:cs="Arial" w:eastAsia="Arial" w:hAnsi="Arial"/>
          <w:sz w:val="18"/>
          <w:szCs w:val="18"/>
          <w:color w:val="auto"/>
        </w:rPr>
        <w:t>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average selling prices of our products could decrease rapidly which may negatively impact our revenues and gross profit</w:t>
      </w:r>
    </w:p>
    <w:p>
      <w:pPr>
        <w:spacing w:after="0" w:line="247" w:lineRule="exact"/>
        <w:rPr>
          <w:sz w:val="20"/>
          <w:szCs w:val="20"/>
          <w:color w:val="auto"/>
        </w:rPr>
      </w:pPr>
    </w:p>
    <w:p>
      <w:pPr>
        <w:ind w:right="200" w:firstLine="319"/>
        <w:spacing w:after="0" w:line="287" w:lineRule="auto"/>
        <w:rPr>
          <w:sz w:val="20"/>
          <w:szCs w:val="20"/>
          <w:color w:val="auto"/>
        </w:rPr>
      </w:pPr>
      <w:r>
        <w:rPr>
          <w:rFonts w:ascii="Arial" w:cs="Arial" w:eastAsia="Arial" w:hAnsi="Arial"/>
          <w:sz w:val="16"/>
          <w:szCs w:val="16"/>
          <w:color w:val="auto"/>
        </w:rPr>
        <w:t>We may experience substantial period-to-period fluctuations in future operating results due to the erosion of our average selling prices.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sectPr>
          <w:pgSz w:w="11900" w:h="16838" w:orient="portrait"/>
          <w:cols w:equalWidth="0" w:num="1">
            <w:col w:w="10060"/>
          </w:cols>
          <w:pgMar w:left="920" w:top="512" w:right="9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2" w:right="9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within the numerous markets we target may reduce sales of our products and reduce our market share</w:t>
      </w:r>
    </w:p>
    <w:p>
      <w:pPr>
        <w:spacing w:after="0" w:line="224" w:lineRule="exact"/>
        <w:rPr>
          <w:sz w:val="20"/>
          <w:szCs w:val="20"/>
          <w:color w:val="auto"/>
        </w:rPr>
      </w:pPr>
    </w:p>
    <w:p>
      <w:pPr>
        <w:ind w:firstLine="319"/>
        <w:spacing w:after="0" w:line="264" w:lineRule="auto"/>
        <w:rPr>
          <w:sz w:val="20"/>
          <w:szCs w:val="20"/>
          <w:color w:val="auto"/>
        </w:rPr>
      </w:pPr>
      <w:r>
        <w:rPr>
          <w:rFonts w:ascii="Arial" w:cs="Arial" w:eastAsia="Arial" w:hAnsi="Arial"/>
          <w:sz w:val="17"/>
          <w:szCs w:val="17"/>
          <w:color w:val="auto"/>
        </w:rPr>
        <w:t>The markets for semiconductors in general, and for mixed-signal products in particular, are intensely competitive. We expect that the market for our products will continually evolve and will be subject to rapid technological change. In addition, as we target and supply products to numerous markets and applications, we face competition from a relatively large number of competitors. We compete with AltoBeam, Analog Devices, Aura, Broadcom, Cypress, Dialog, Espressif, Infineon, Maxim Integrated Products, MaxLinear, MediaTek, Microchip, Nordic Semiconductor, NXP, Qualcomm, Rafael,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80"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b w:val="1"/>
          <w:bCs w:val="1"/>
          <w:color w:val="auto"/>
        </w:rPr>
        <w:t>We may be the victim of business disruptions and security breaches, including cyber-attacks, which could lead to liability or could damage our reputation and financial results</w:t>
      </w:r>
    </w:p>
    <w:p>
      <w:pPr>
        <w:spacing w:after="0" w:line="173" w:lineRule="exact"/>
        <w:rPr>
          <w:sz w:val="20"/>
          <w:szCs w:val="20"/>
          <w:color w:val="auto"/>
        </w:rPr>
      </w:pPr>
    </w:p>
    <w:p>
      <w:pPr>
        <w:ind w:firstLine="319"/>
        <w:spacing w:after="0" w:line="263" w:lineRule="auto"/>
        <w:rPr>
          <w:sz w:val="20"/>
          <w:szCs w:val="20"/>
          <w:color w:val="auto"/>
        </w:rPr>
      </w:pPr>
      <w:r>
        <w:rPr>
          <w:rFonts w:ascii="Arial" w:cs="Arial" w:eastAsia="Arial" w:hAnsi="Arial"/>
          <w:sz w:val="17"/>
          <w:szCs w:val="17"/>
          <w:color w:val="auto"/>
        </w:rPr>
        <w:t>Information technology system and/or network disruptions, regardless of the cause, but including acts of sabotage, error, or other actions, could harm the company’s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 sometimes successful. These attacks may be due to security breaches, employee error, theft, malfeasance, phishing schemes, ransomware, faulty password or data security management, or other irregularities.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could be significant. Attempted or successful attacks against our products and services could damage our reputation with customers or users and reduce demand for our products and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Privacy and Data Security/Protection Laws Could Have an Adverse Effect on our Operations</w:t>
      </w:r>
    </w:p>
    <w:p>
      <w:pPr>
        <w:spacing w:after="0" w:line="224" w:lineRule="exact"/>
        <w:rPr>
          <w:sz w:val="20"/>
          <w:szCs w:val="20"/>
          <w:color w:val="auto"/>
        </w:rPr>
      </w:pPr>
    </w:p>
    <w:p>
      <w:pPr>
        <w:ind w:right="60" w:firstLine="319"/>
        <w:spacing w:after="0" w:line="269" w:lineRule="auto"/>
        <w:rPr>
          <w:sz w:val="20"/>
          <w:szCs w:val="20"/>
          <w:color w:val="auto"/>
        </w:rPr>
      </w:pPr>
      <w:r>
        <w:rPr>
          <w:rFonts w:ascii="Arial" w:cs="Arial" w:eastAsia="Arial" w:hAnsi="Arial"/>
          <w:sz w:val="17"/>
          <w:szCs w:val="17"/>
          <w:color w:val="auto"/>
        </w:rPr>
        <w:t>Federal, state and international privacy-related or data protection laws and regulations could have an adverse effect on our operations. Complying with these laws and the possibility of proceedings against us by governmental entities or others in relation to these laws could increase operational costs. In May 2018, the European Union’s General Data Protection Regulation (“GDPR”) went into effect, replacing the EU’s 1995 Data Protection Directive. The costs of compliance with the GDPR and the potential for fines and penalties in the event of a breach of the GDPR may have an adverse effect on our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subject to information technology failures that could damage our reputation, business operations and financial condition</w:t>
      </w:r>
    </w:p>
    <w:p>
      <w:pPr>
        <w:spacing w:after="0" w:line="270"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We rely on information technology for the effective operation of our business. Our systems are subject to damage or interruption from a number of potential sources, including natural disasters, accidents, power disruptions, telecommunications failures, acts of terrorism or war, computer viruses, theft, physical or electronic break-ins, cyber-attacks, sabotage, vandalism, or similar events or disruptions. Our security measures may not detect or prevent such security breaches. Any such compromise of our information security could result in the theft or unauthorized publication or use of our confidential business or proprietary information, result in the unauthorized release of customer, supplier or employee data, result in a violation of privacy or other laws, expose us to a risk of litigation or damage our reputation. In addition, our inability to use or access information systems at critical points in time could unfavorably impact the timely and efficient operation of our business, which could negatively affect our business and operating results.</w:t>
      </w:r>
    </w:p>
    <w:p>
      <w:pPr>
        <w:spacing w:after="0" w:line="172" w:lineRule="exact"/>
        <w:rPr>
          <w:sz w:val="20"/>
          <w:szCs w:val="20"/>
          <w:color w:val="auto"/>
        </w:rPr>
      </w:pPr>
    </w:p>
    <w:p>
      <w:pPr>
        <w:ind w:right="120" w:firstLine="319"/>
        <w:spacing w:after="0" w:line="278" w:lineRule="auto"/>
        <w:rPr>
          <w:sz w:val="20"/>
          <w:szCs w:val="20"/>
          <w:color w:val="auto"/>
        </w:rPr>
      </w:pPr>
      <w:r>
        <w:rPr>
          <w:rFonts w:ascii="Arial" w:cs="Arial" w:eastAsia="Arial" w:hAnsi="Arial"/>
          <w:sz w:val="17"/>
          <w:szCs w:val="17"/>
          <w:color w:val="auto"/>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and financial results.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40"/>
          </w:cols>
          <w:pgMar w:left="920" w:top="513" w:right="9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must conform to industry standards and technology in order to be accepted by end users in our markets</w:t>
      </w:r>
    </w:p>
    <w:p>
      <w:pPr>
        <w:spacing w:after="0" w:line="236" w:lineRule="exact"/>
        <w:rPr>
          <w:sz w:val="20"/>
          <w:szCs w:val="20"/>
          <w:color w:val="auto"/>
        </w:rPr>
      </w:pPr>
    </w:p>
    <w:p>
      <w:pPr>
        <w:ind w:firstLine="319"/>
        <w:spacing w:after="0" w:line="268" w:lineRule="auto"/>
        <w:rPr>
          <w:sz w:val="20"/>
          <w:szCs w:val="20"/>
          <w:color w:val="auto"/>
        </w:rPr>
      </w:pPr>
      <w:r>
        <w:rPr>
          <w:rFonts w:ascii="Arial" w:cs="Arial" w:eastAsia="Arial" w:hAnsi="Arial"/>
          <w:sz w:val="17"/>
          <w:szCs w:val="17"/>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79" w:lineRule="exact"/>
        <w:rPr>
          <w:sz w:val="20"/>
          <w:szCs w:val="20"/>
          <w:color w:val="auto"/>
        </w:rPr>
      </w:pPr>
    </w:p>
    <w:p>
      <w:pPr>
        <w:ind w:right="40" w:firstLine="319"/>
        <w:spacing w:after="0" w:line="266" w:lineRule="auto"/>
        <w:rPr>
          <w:sz w:val="20"/>
          <w:szCs w:val="20"/>
          <w:color w:val="auto"/>
        </w:rPr>
      </w:pPr>
      <w:r>
        <w:rPr>
          <w:rFonts w:ascii="Arial" w:cs="Arial" w:eastAsia="Arial" w:hAnsi="Arial"/>
          <w:sz w:val="17"/>
          <w:szCs w:val="17"/>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relatively new and is continuously evolving. Furthermore, products in the IoT market frequently require interoperability across multiple standards. We may need to adjust our portfolio to meet the needs of this evolving market through acquisitions or significant new investments in research and development.</w:t>
      </w:r>
    </w:p>
    <w:p>
      <w:pPr>
        <w:spacing w:after="0" w:line="180" w:lineRule="exact"/>
        <w:rPr>
          <w:sz w:val="20"/>
          <w:szCs w:val="20"/>
          <w:color w:val="auto"/>
        </w:rPr>
      </w:pPr>
    </w:p>
    <w:p>
      <w:pPr>
        <w:ind w:right="220" w:firstLine="319"/>
        <w:spacing w:after="0" w:line="303" w:lineRule="auto"/>
        <w:rPr>
          <w:sz w:val="20"/>
          <w:szCs w:val="20"/>
          <w:color w:val="auto"/>
        </w:rPr>
      </w:pPr>
      <w:r>
        <w:rPr>
          <w:rFonts w:ascii="Arial" w:cs="Arial" w:eastAsia="Arial" w:hAnsi="Arial"/>
          <w:sz w:val="16"/>
          <w:szCs w:val="16"/>
          <w:color w:val="auto"/>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demands and new regulations related to conflict-free minerals may adversely affect us</w:t>
      </w:r>
    </w:p>
    <w:p>
      <w:pPr>
        <w:spacing w:after="0" w:line="224" w:lineRule="exact"/>
        <w:rPr>
          <w:sz w:val="20"/>
          <w:szCs w:val="20"/>
          <w:color w:val="auto"/>
        </w:rPr>
      </w:pPr>
    </w:p>
    <w:p>
      <w:pPr>
        <w:ind w:right="40" w:firstLine="319"/>
        <w:spacing w:after="0" w:line="266" w:lineRule="auto"/>
        <w:rPr>
          <w:sz w:val="20"/>
          <w:szCs w:val="20"/>
          <w:color w:val="auto"/>
        </w:rPr>
      </w:pPr>
      <w:r>
        <w:rPr>
          <w:rFonts w:ascii="Arial" w:cs="Arial" w:eastAsia="Arial" w:hAnsi="Arial"/>
          <w:sz w:val="17"/>
          <w:szCs w:val="17"/>
          <w:color w:val="auto"/>
        </w:rPr>
        <w:t>The Dodd-Frank Wall Street Reform and Consumer Protection Act imposes new disclosure requirements regarding the use of “conflict” minerals mined from the Democratic Republic of Congo and adjoining countries in products, whether or not these products are manufactured by third parties. These new requirements could affect the pricing, sourcing and availability of minerals used in the manufacture of semiconductor devices (including our products).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224" w:lineRule="exact"/>
        <w:rPr>
          <w:sz w:val="20"/>
          <w:szCs w:val="20"/>
          <w:color w:val="auto"/>
        </w:rPr>
      </w:pPr>
    </w:p>
    <w:p>
      <w:pPr>
        <w:ind w:right="140" w:firstLine="319"/>
        <w:spacing w:after="0" w:line="266" w:lineRule="auto"/>
        <w:rPr>
          <w:sz w:val="20"/>
          <w:szCs w:val="20"/>
          <w:color w:val="auto"/>
        </w:rPr>
      </w:pPr>
      <w:r>
        <w:rPr>
          <w:rFonts w:ascii="Arial" w:cs="Arial" w:eastAsia="Arial" w:hAnsi="Arial"/>
          <w:sz w:val="17"/>
          <w:szCs w:val="17"/>
          <w:color w:val="auto"/>
        </w:rPr>
        <w:t>Our corporate headquarters, housing engineering, sales and marketing, administration and test operations, is located in Austin, Texas. Our headquarters facilities consist of two buildings, which we own, that are located on land which we have leased through 2099. The buildings contain approximately 441,000 square feet of floor space, of which approximately 87,000 square feet were leased to other tenants. In addition to these properties, we lease smaller facilities in various locations in the United States, Australia, Canada, China, Denmark, Finland, France, Germany, Hungary, Italy, Japan, Norway, Singapore, South Korea, Taiwan and the United Kingdom for engineering, sales and marketing, administrative and manufacturing support activities. We believe that these facilities are suitable and adequate to meet our current operating needs.</w:t>
      </w:r>
    </w:p>
    <w:p>
      <w:pPr>
        <w:spacing w:after="0" w:line="1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24" w:lineRule="exact"/>
        <w:rPr>
          <w:sz w:val="20"/>
          <w:szCs w:val="20"/>
          <w:color w:val="auto"/>
        </w:rPr>
      </w:pPr>
    </w:p>
    <w:p>
      <w:pPr>
        <w:ind w:right="660" w:firstLine="319"/>
        <w:spacing w:after="0" w:line="266" w:lineRule="auto"/>
        <w:rPr>
          <w:sz w:val="20"/>
          <w:szCs w:val="20"/>
          <w:color w:val="auto"/>
        </w:rPr>
      </w:pPr>
      <w:r>
        <w:rPr>
          <w:rFonts w:ascii="Arial" w:cs="Arial" w:eastAsia="Arial" w:hAnsi="Arial"/>
          <w:sz w:val="18"/>
          <w:szCs w:val="18"/>
          <w:color w:val="auto"/>
        </w:rPr>
        <w:t xml:space="preserve">Information regarding legal proceedings is provided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Such information is incorporated by reference herein.</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60"/>
          </w:cols>
          <w:pgMar w:left="920" w:top="51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type w:val="continuous"/>
        </w:sectPr>
      </w:pPr>
    </w:p>
    <w:bookmarkStart w:id="26" w:name="page27"/>
    <w:bookmarkEnd w:id="26"/>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Part II</w:t>
      </w:r>
    </w:p>
    <w:p>
      <w:pPr>
        <w:spacing w:after="0" w:line="192" w:lineRule="exact"/>
        <w:rPr>
          <w:sz w:val="20"/>
          <w:szCs w:val="20"/>
          <w:color w:val="auto"/>
        </w:rPr>
      </w:pPr>
    </w:p>
    <w:p>
      <w:pPr>
        <w:ind w:left="3"/>
        <w:spacing w:after="0"/>
        <w:tabs>
          <w:tab w:leader="none" w:pos="682"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Market Information and Holders</w:t>
      </w:r>
    </w:p>
    <w:p>
      <w:pPr>
        <w:spacing w:after="0" w:line="198" w:lineRule="exact"/>
        <w:rPr>
          <w:sz w:val="20"/>
          <w:szCs w:val="20"/>
          <w:color w:val="auto"/>
        </w:rPr>
      </w:pPr>
    </w:p>
    <w:p>
      <w:pPr>
        <w:ind w:left="3" w:right="480" w:firstLine="319"/>
        <w:spacing w:after="0" w:line="303" w:lineRule="auto"/>
        <w:rPr>
          <w:sz w:val="20"/>
          <w:szCs w:val="20"/>
          <w:color w:val="auto"/>
        </w:rPr>
      </w:pPr>
      <w:r>
        <w:rPr>
          <w:rFonts w:ascii="Arial" w:cs="Arial" w:eastAsia="Arial" w:hAnsi="Arial"/>
          <w:sz w:val="16"/>
          <w:szCs w:val="16"/>
          <w:color w:val="auto"/>
        </w:rPr>
        <w:t>Our registration statement (Registration No. 333-94853) under the Securities Act of 1933, as amended, relating to our initial public offering of our common stock became effective on March 23, 2000. Our common stock is quoted on the NASDAQ National Market (NASDAQ) under the symbol “SLAB”. As of January 20, 2020, there were 67 holders of record of our common stock.</w:t>
      </w:r>
    </w:p>
    <w:p>
      <w:pPr>
        <w:spacing w:after="0" w:line="12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Dividend Policy</w:t>
      </w:r>
    </w:p>
    <w:p>
      <w:pPr>
        <w:spacing w:after="0" w:line="198" w:lineRule="exact"/>
        <w:rPr>
          <w:sz w:val="20"/>
          <w:szCs w:val="20"/>
          <w:color w:val="auto"/>
        </w:rPr>
      </w:pPr>
    </w:p>
    <w:p>
      <w:pPr>
        <w:ind w:left="3" w:right="440" w:firstLine="319"/>
        <w:spacing w:after="0" w:line="266" w:lineRule="auto"/>
        <w:rPr>
          <w:sz w:val="20"/>
          <w:szCs w:val="20"/>
          <w:color w:val="auto"/>
        </w:rPr>
      </w:pPr>
      <w:r>
        <w:rPr>
          <w:rFonts w:ascii="Arial" w:cs="Arial" w:eastAsia="Arial" w:hAnsi="Arial"/>
          <w:sz w:val="18"/>
          <w:szCs w:val="18"/>
          <w:color w:val="auto"/>
        </w:rPr>
        <w:t>We have never declared or paid any cash dividends on our common stock and we currently do not intend to pay cash dividends. We currently expect to retain any future earnings to fund the operation and expansion of our business.</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Stock Performance Graph</w:t>
      </w:r>
    </w:p>
    <w:p>
      <w:pPr>
        <w:spacing w:after="0" w:line="198" w:lineRule="exact"/>
        <w:rPr>
          <w:sz w:val="20"/>
          <w:szCs w:val="20"/>
          <w:color w:val="auto"/>
        </w:rPr>
      </w:pPr>
    </w:p>
    <w:p>
      <w:pPr>
        <w:ind w:left="323"/>
        <w:spacing w:after="0"/>
        <w:rPr>
          <w:sz w:val="20"/>
          <w:szCs w:val="20"/>
          <w:color w:val="auto"/>
        </w:rPr>
      </w:pPr>
      <w:r>
        <w:rPr>
          <w:rFonts w:ascii="Arial" w:cs="Arial" w:eastAsia="Arial" w:hAnsi="Arial"/>
          <w:sz w:val="16"/>
          <w:szCs w:val="16"/>
          <w:color w:val="auto"/>
        </w:rPr>
        <w:t>The graph depicted below shows a comparison of cumulative total stockholder returns for an investment in Silicon Laboratories Inc.</w:t>
      </w:r>
    </w:p>
    <w:p>
      <w:pPr>
        <w:spacing w:after="0" w:line="40" w:lineRule="exact"/>
        <w:rPr>
          <w:sz w:val="20"/>
          <w:szCs w:val="20"/>
          <w:color w:val="auto"/>
        </w:rPr>
      </w:pPr>
    </w:p>
    <w:p>
      <w:pPr>
        <w:ind w:left="3"/>
        <w:spacing w:after="0"/>
        <w:rPr>
          <w:sz w:val="20"/>
          <w:szCs w:val="20"/>
          <w:color w:val="auto"/>
        </w:rPr>
      </w:pPr>
      <w:r>
        <w:rPr>
          <w:rFonts w:ascii="Arial" w:cs="Arial" w:eastAsia="Arial" w:hAnsi="Arial"/>
          <w:sz w:val="18"/>
          <w:szCs w:val="18"/>
          <w:color w:val="auto"/>
        </w:rPr>
        <w:t>common stock, the NASDAQ Composite Index and the PHLX Semiconductor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122555</wp:posOffset>
            </wp:positionV>
            <wp:extent cx="4818380" cy="3561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18380" cy="356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Company / Index</w:t>
            </w:r>
          </w:p>
        </w:tc>
        <w:tc>
          <w:tcPr>
            <w:tcW w:w="8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01/03/15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Arial" w:cs="Arial" w:eastAsia="Arial" w:hAnsi="Arial"/>
                <w:sz w:val="14"/>
                <w:szCs w:val="14"/>
                <w:b w:val="1"/>
                <w:bCs w:val="1"/>
                <w:color w:val="auto"/>
                <w:w w:val="88"/>
              </w:rPr>
              <w:t>01/02/16</w:t>
            </w:r>
          </w:p>
        </w:tc>
        <w:tc>
          <w:tcPr>
            <w:tcW w:w="8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12/31/16</w:t>
            </w:r>
          </w:p>
        </w:tc>
        <w:tc>
          <w:tcPr>
            <w:tcW w:w="8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12/30/17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12/29/18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12/28/19</w:t>
            </w:r>
          </w:p>
        </w:tc>
      </w:tr>
      <w:tr>
        <w:trPr>
          <w:trHeight w:val="206"/>
        </w:trPr>
        <w:tc>
          <w:tcPr>
            <w:tcW w:w="494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Silicon Laboratories Inc.</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88"/>
              </w:rPr>
              <w:t>$ 100.00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4"/>
              </w:rPr>
              <w:t>102.17</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88"/>
              </w:rPr>
              <w:t>$ 136.81</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88"/>
              </w:rPr>
              <w:t>$ 185.86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165.23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8"/>
              </w:rPr>
              <w:t>245.25</w:t>
            </w:r>
          </w:p>
        </w:tc>
      </w:tr>
      <w:tr>
        <w:trPr>
          <w:trHeight w:val="213"/>
        </w:trPr>
        <w:tc>
          <w:tcPr>
            <w:tcW w:w="4940" w:type="dxa"/>
            <w:vAlign w:val="bottom"/>
            <w:gridSpan w:val="2"/>
          </w:tcPr>
          <w:p>
            <w:pPr>
              <w:spacing w:after="0"/>
              <w:rPr>
                <w:sz w:val="20"/>
                <w:szCs w:val="20"/>
                <w:color w:val="auto"/>
              </w:rPr>
            </w:pPr>
            <w:r>
              <w:rPr>
                <w:rFonts w:ascii="Arial" w:cs="Arial" w:eastAsia="Arial" w:hAnsi="Arial"/>
                <w:sz w:val="18"/>
                <w:szCs w:val="18"/>
                <w:color w:val="auto"/>
              </w:rPr>
              <w:t>NASDAQ Composite Index</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107.16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$ 116.66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$ 151.23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201.60</w:t>
            </w:r>
          </w:p>
        </w:tc>
      </w:tr>
      <w:tr>
        <w:trPr>
          <w:trHeight w:val="213"/>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PHLX Semiconductor Index</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297.05</w:t>
            </w:r>
          </w:p>
        </w:tc>
      </w:tr>
      <w:tr>
        <w:trPr>
          <w:trHeight w:val="113"/>
        </w:trPr>
        <w:tc>
          <w:tcPr>
            <w:tcW w:w="252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67" w:lineRule="exact"/>
        <w:rPr>
          <w:sz w:val="20"/>
          <w:szCs w:val="20"/>
          <w:color w:val="auto"/>
        </w:rPr>
      </w:pPr>
    </w:p>
    <w:p>
      <w:pPr>
        <w:ind w:left="323" w:right="260" w:hanging="323"/>
        <w:spacing w:after="0" w:line="266" w:lineRule="auto"/>
        <w:tabs>
          <w:tab w:leader="none" w:pos="3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and in each index at the market close on January 3, 2015, and that all dividends were reinvested. No cash dividends have been declared on our common stock.</w:t>
      </w:r>
    </w:p>
    <w:p>
      <w:pPr>
        <w:spacing w:after="0" w:line="179" w:lineRule="exact"/>
        <w:rPr>
          <w:rFonts w:ascii="Arial" w:cs="Arial" w:eastAsia="Arial" w:hAnsi="Arial"/>
          <w:sz w:val="18"/>
          <w:szCs w:val="18"/>
          <w:color w:val="auto"/>
        </w:rPr>
      </w:pPr>
    </w:p>
    <w:p>
      <w:pPr>
        <w:ind w:left="323" w:hanging="323"/>
        <w:spacing w:after="0"/>
        <w:tabs>
          <w:tab w:leader="none" w:pos="3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ectPr>
          <w:pgSz w:w="11900" w:h="16838" w:orient="portrait"/>
          <w:cols w:equalWidth="0" w:num="1">
            <w:col w:w="10083"/>
          </w:cols>
          <w:pgMar w:left="917" w:top="513" w:right="89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363855</wp:posOffset>
            </wp:positionV>
            <wp:extent cx="638810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3"/>
          </w:cols>
          <w:pgMar w:left="917" w:top="513" w:right="899" w:bottom="1440" w:gutter="0" w:footer="0" w:header="0"/>
          <w:type w:val="continuous"/>
        </w:sectPr>
      </w:pPr>
    </w:p>
    <w:bookmarkStart w:id="27" w:name="page28"/>
    <w:bookmarkEnd w:id="27"/>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p>
      <w:pPr>
        <w:jc w:val="both"/>
        <w:ind w:left="3" w:right="360" w:firstLine="319"/>
        <w:spacing w:after="0" w:line="266" w:lineRule="auto"/>
        <w:rPr>
          <w:sz w:val="20"/>
          <w:szCs w:val="20"/>
          <w:color w:val="auto"/>
        </w:rPr>
      </w:pPr>
      <w:r>
        <w:rPr>
          <w:rFonts w:ascii="Arial" w:cs="Arial" w:eastAsia="Arial" w:hAnsi="Arial"/>
          <w:sz w:val="18"/>
          <w:szCs w:val="18"/>
          <w:color w:val="auto"/>
        </w:rPr>
        <w:t>The following table summarizes repurchases of our common stock during the three months ended December 28, 2019 (in thousands, except per share amounts):</w:t>
      </w:r>
    </w:p>
    <w:p>
      <w:pPr>
        <w:spacing w:after="0" w:line="167"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6"/>
              </w:rPr>
              <w:t>Total 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20"/>
              <w:spacing w:after="0" w:line="146" w:lineRule="exact"/>
              <w:rPr>
                <w:sz w:val="20"/>
                <w:szCs w:val="20"/>
                <w:color w:val="auto"/>
              </w:rPr>
            </w:pPr>
            <w:r>
              <w:rPr>
                <w:rFonts w:ascii="Arial" w:cs="Arial" w:eastAsia="Arial" w:hAnsi="Arial"/>
                <w:sz w:val="14"/>
                <w:szCs w:val="14"/>
                <w:b w:val="1"/>
                <w:bCs w:val="1"/>
                <w:color w:val="auto"/>
                <w:w w:val="91"/>
              </w:rPr>
              <w:t>Dollar Value of</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Average Price</w:t>
            </w:r>
          </w:p>
        </w:tc>
        <w:tc>
          <w:tcPr>
            <w:tcW w:w="11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2"/>
                <w:szCs w:val="12"/>
                <w:color w:val="auto"/>
              </w:rPr>
            </w:pPr>
          </w:p>
        </w:tc>
        <w:tc>
          <w:tcPr>
            <w:tcW w:w="11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6"/>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90"/>
              </w:rPr>
              <w:t>as Part of Publicly</w:t>
            </w:r>
          </w:p>
        </w:tc>
        <w:tc>
          <w:tcPr>
            <w:tcW w:w="140" w:type="dxa"/>
            <w:vAlign w:val="bottom"/>
          </w:tcPr>
          <w:p>
            <w:pPr>
              <w:spacing w:after="0"/>
              <w:rPr>
                <w:sz w:val="12"/>
                <w:szCs w:val="12"/>
                <w:color w:val="auto"/>
              </w:rPr>
            </w:pPr>
          </w:p>
        </w:tc>
        <w:tc>
          <w:tcPr>
            <w:tcW w:w="11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6"/>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4"/>
              </w:rPr>
              <w:t>Paid per</w:t>
            </w:r>
          </w:p>
        </w:tc>
        <w:tc>
          <w:tcPr>
            <w:tcW w:w="1160" w:type="dxa"/>
            <w:vAlign w:val="bottom"/>
          </w:tcPr>
          <w:p>
            <w:pPr>
              <w:jc w:val="right"/>
              <w:spacing w:after="0" w:line="146" w:lineRule="exact"/>
              <w:rPr>
                <w:sz w:val="20"/>
                <w:szCs w:val="20"/>
                <w:color w:val="auto"/>
              </w:rPr>
            </w:pPr>
            <w:r>
              <w:rPr>
                <w:rFonts w:ascii="Arial" w:cs="Arial" w:eastAsia="Arial" w:hAnsi="Arial"/>
                <w:sz w:val="14"/>
                <w:szCs w:val="14"/>
                <w:b w:val="1"/>
                <w:bCs w:val="1"/>
                <w:color w:val="auto"/>
                <w:w w:val="91"/>
              </w:rPr>
              <w:t>Announced Plans</w:t>
            </w:r>
          </w:p>
        </w:tc>
        <w:tc>
          <w:tcPr>
            <w:tcW w:w="140" w:type="dxa"/>
            <w:vAlign w:val="bottom"/>
          </w:tcPr>
          <w:p>
            <w:pPr>
              <w:spacing w:after="0"/>
              <w:rPr>
                <w:sz w:val="12"/>
                <w:szCs w:val="12"/>
                <w:color w:val="auto"/>
              </w:rPr>
            </w:pPr>
          </w:p>
        </w:tc>
        <w:tc>
          <w:tcPr>
            <w:tcW w:w="11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69"/>
        </w:trPr>
        <w:tc>
          <w:tcPr>
            <w:tcW w:w="554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Share</w:t>
            </w:r>
          </w:p>
        </w:tc>
        <w:tc>
          <w:tcPr>
            <w:tcW w:w="1160" w:type="dxa"/>
            <w:vAlign w:val="bottom"/>
          </w:tcPr>
          <w:p>
            <w:pPr>
              <w:jc w:val="right"/>
              <w:ind w:right="121"/>
              <w:spacing w:after="0"/>
              <w:rPr>
                <w:sz w:val="20"/>
                <w:szCs w:val="20"/>
                <w:color w:val="auto"/>
              </w:rPr>
            </w:pPr>
            <w:r>
              <w:rPr>
                <w:rFonts w:ascii="Arial" w:cs="Arial" w:eastAsia="Arial" w:hAnsi="Arial"/>
                <w:sz w:val="14"/>
                <w:szCs w:val="14"/>
                <w:b w:val="1"/>
                <w:bCs w:val="1"/>
                <w:color w:val="auto"/>
              </w:rPr>
              <w:t>or Programs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06"/>
        </w:trPr>
        <w:tc>
          <w:tcPr>
            <w:tcW w:w="54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September 29, 2019 – October 26, 2019</w:t>
            </w: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80"/>
              <w:spacing w:after="0" w:line="20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ind w:left="520"/>
              <w:spacing w:after="0" w:line="20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134,023</w:t>
            </w:r>
          </w:p>
        </w:tc>
        <w:tc>
          <w:tcPr>
            <w:tcW w:w="0" w:type="dxa"/>
            <w:vAlign w:val="bottom"/>
          </w:tcPr>
          <w:p>
            <w:pPr>
              <w:spacing w:after="0"/>
              <w:rPr>
                <w:sz w:val="1"/>
                <w:szCs w:val="1"/>
                <w:color w:val="auto"/>
              </w:rPr>
            </w:pPr>
          </w:p>
        </w:tc>
      </w:tr>
      <w:tr>
        <w:trPr>
          <w:trHeight w:val="213"/>
        </w:trPr>
        <w:tc>
          <w:tcPr>
            <w:tcW w:w="5540" w:type="dxa"/>
            <w:vAlign w:val="bottom"/>
            <w:gridSpan w:val="2"/>
          </w:tcPr>
          <w:p>
            <w:pPr>
              <w:spacing w:after="0"/>
              <w:rPr>
                <w:sz w:val="20"/>
                <w:szCs w:val="20"/>
                <w:color w:val="auto"/>
              </w:rPr>
            </w:pPr>
            <w:r>
              <w:rPr>
                <w:rFonts w:ascii="Arial" w:cs="Arial" w:eastAsia="Arial" w:hAnsi="Arial"/>
                <w:sz w:val="18"/>
                <w:szCs w:val="18"/>
                <w:color w:val="auto"/>
              </w:rPr>
              <w:t>October 27, 2019 –  November 23, 2019</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134,023</w:t>
            </w:r>
          </w:p>
        </w:tc>
        <w:tc>
          <w:tcPr>
            <w:tcW w:w="0" w:type="dxa"/>
            <w:vAlign w:val="bottom"/>
          </w:tcPr>
          <w:p>
            <w:pPr>
              <w:spacing w:after="0"/>
              <w:rPr>
                <w:sz w:val="1"/>
                <w:szCs w:val="1"/>
                <w:color w:val="auto"/>
              </w:rPr>
            </w:pPr>
          </w:p>
        </w:tc>
      </w:tr>
      <w:tr>
        <w:trPr>
          <w:trHeight w:val="213"/>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24, 2019 –  December 28, 2019</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134,023</w:t>
            </w:r>
          </w:p>
        </w:tc>
        <w:tc>
          <w:tcPr>
            <w:tcW w:w="0" w:type="dxa"/>
            <w:vAlign w:val="bottom"/>
          </w:tcPr>
          <w:p>
            <w:pPr>
              <w:spacing w:after="0"/>
              <w:rPr>
                <w:sz w:val="1"/>
                <w:szCs w:val="1"/>
                <w:color w:val="auto"/>
              </w:rPr>
            </w:pPr>
          </w:p>
        </w:tc>
      </w:tr>
      <w:tr>
        <w:trPr>
          <w:trHeight w:val="217"/>
        </w:trPr>
        <w:tc>
          <w:tcPr>
            <w:tcW w:w="554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 w:right="380" w:firstLine="319"/>
        <w:spacing w:after="0" w:line="256" w:lineRule="auto"/>
        <w:rPr>
          <w:sz w:val="20"/>
          <w:szCs w:val="20"/>
          <w:color w:val="auto"/>
        </w:rPr>
      </w:pPr>
      <w:r>
        <w:rPr>
          <w:rFonts w:ascii="Arial" w:cs="Arial" w:eastAsia="Arial" w:hAnsi="Arial"/>
          <w:sz w:val="18"/>
          <w:szCs w:val="18"/>
          <w:color w:val="auto"/>
        </w:rPr>
        <w:t>Our existing share repurchase program has an authorization amount of $200 million and a termination date of December 2020. The program allows for repurchases to be made in the open market or in private transactions, including structured or accelerated transactions, subject to applicable legal requirements and market conditions.</w:t>
      </w:r>
    </w:p>
    <w:p>
      <w:pPr>
        <w:spacing w:after="0" w:line="182" w:lineRule="exact"/>
        <w:rPr>
          <w:sz w:val="20"/>
          <w:szCs w:val="20"/>
          <w:color w:val="auto"/>
        </w:rPr>
      </w:pPr>
    </w:p>
    <w:p>
      <w:pPr>
        <w:ind w:left="3"/>
        <w:spacing w:after="0"/>
        <w:tabs>
          <w:tab w:leader="none" w:pos="682"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224" w:lineRule="exact"/>
        <w:rPr>
          <w:sz w:val="20"/>
          <w:szCs w:val="20"/>
          <w:color w:val="auto"/>
        </w:rPr>
      </w:pPr>
    </w:p>
    <w:p>
      <w:pPr>
        <w:ind w:left="3" w:right="80" w:firstLine="319"/>
        <w:spacing w:after="0" w:line="329" w:lineRule="auto"/>
        <w:rPr>
          <w:sz w:val="20"/>
          <w:szCs w:val="20"/>
          <w:color w:val="auto"/>
        </w:rPr>
      </w:pPr>
      <w:r>
        <w:rPr>
          <w:rFonts w:ascii="Arial" w:cs="Arial" w:eastAsia="Arial" w:hAnsi="Arial"/>
          <w:sz w:val="16"/>
          <w:szCs w:val="16"/>
          <w:color w:val="auto"/>
        </w:rPr>
        <w:t>Please read this selected consolidated financial data in conjunction with “Management’s Discussion and Analysis of Financial Condition and Results of Operations,” our Consolidated Financial Statements and the notes to those statements included in this Form 10-K.</w:t>
      </w:r>
    </w:p>
    <w:p>
      <w:pPr>
        <w:spacing w:after="0" w:line="136"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Fiscal Year</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4"/>
              <w:spacing w:after="0" w:line="139" w:lineRule="exact"/>
              <w:rPr>
                <w:sz w:val="20"/>
                <w:szCs w:val="20"/>
                <w:color w:val="auto"/>
              </w:rPr>
            </w:pPr>
            <w:r>
              <w:rPr>
                <w:rFonts w:ascii="Arial" w:cs="Arial" w:eastAsia="Arial" w:hAnsi="Arial"/>
                <w:sz w:val="14"/>
                <w:szCs w:val="14"/>
                <w:b w:val="1"/>
                <w:bCs w:val="1"/>
                <w:color w:val="auto"/>
              </w:rPr>
              <w:t>2018 (1)</w:t>
            </w: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94"/>
              <w:spacing w:after="0" w:line="139"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3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tcPr>
          <w:p>
            <w:pPr>
              <w:jc w:val="center"/>
              <w:ind w:right="53"/>
              <w:spacing w:after="0" w:line="139" w:lineRule="exact"/>
              <w:rPr>
                <w:sz w:val="20"/>
                <w:szCs w:val="20"/>
                <w:color w:val="auto"/>
              </w:rPr>
            </w:pPr>
            <w:r>
              <w:rPr>
                <w:rFonts w:ascii="Arial" w:cs="Arial" w:eastAsia="Arial" w:hAnsi="Arial"/>
                <w:sz w:val="14"/>
                <w:szCs w:val="14"/>
                <w:color w:val="auto"/>
                <w:w w:val="88"/>
              </w:rPr>
              <w:t>(in thousands, except per share data)</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7"/>
              </w:rPr>
              <w:t>Consolidated Statements of Income Data</w:t>
            </w:r>
          </w:p>
        </w:tc>
        <w:tc>
          <w:tcPr>
            <w:tcW w:w="9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837,554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868,267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768,867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697,626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644,826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56,697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85,208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84,974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66,277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19,265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83,591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47,092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61,494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29,586</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3"/>
        </w:trPr>
        <w:tc>
          <w:tcPr>
            <w:tcW w:w="3840" w:type="dxa"/>
            <w:vAlign w:val="bottom"/>
            <w:gridSpan w:val="5"/>
          </w:tcPr>
          <w:p>
            <w:pPr>
              <w:spacing w:after="0"/>
              <w:rPr>
                <w:sz w:val="20"/>
                <w:szCs w:val="20"/>
                <w:color w:val="auto"/>
              </w:rPr>
            </w:pPr>
            <w:r>
              <w:rPr>
                <w:rFonts w:ascii="Arial" w:cs="Arial" w:eastAsia="Arial" w:hAnsi="Arial"/>
                <w:sz w:val="18"/>
                <w:szCs w:val="18"/>
                <w:color w:val="auto"/>
              </w:rPr>
              <w:t>Consolidated Balance Sheet Data</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Borders>
              <w:top w:val="single" w:sz="8" w:color="auto"/>
            </w:tcBorders>
            <w:vMerge w:val="restart"/>
          </w:tcPr>
          <w:p>
            <w:pPr>
              <w:spacing w:after="0"/>
              <w:rPr>
                <w:sz w:val="5"/>
                <w:szCs w:val="5"/>
                <w:color w:val="auto"/>
              </w:rPr>
            </w:pPr>
          </w:p>
        </w:tc>
        <w:tc>
          <w:tcPr>
            <w:tcW w:w="23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731,618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619,581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769,704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300,263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Working capital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806,158</w:t>
            </w:r>
          </w:p>
        </w:tc>
        <w:tc>
          <w:tcPr>
            <w:tcW w:w="22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681,793</w:t>
            </w:r>
          </w:p>
        </w:tc>
        <w:tc>
          <w:tcPr>
            <w:tcW w:w="22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785,317</w:t>
            </w:r>
          </w:p>
        </w:tc>
        <w:tc>
          <w:tcPr>
            <w:tcW w:w="24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351,156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280,819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9"/>
              </w:rPr>
              <w:t>1,674,853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1,624,354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1,535,082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1,081,844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1,011,463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obligations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422,101</w:t>
            </w:r>
          </w:p>
        </w:tc>
        <w:tc>
          <w:tcPr>
            <w:tcW w:w="22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412,219</w:t>
            </w:r>
          </w:p>
        </w:tc>
        <w:tc>
          <w:tcPr>
            <w:tcW w:w="22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419,741</w:t>
            </w:r>
          </w:p>
        </w:tc>
        <w:tc>
          <w:tcPr>
            <w:tcW w:w="24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115,191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9"/>
              </w:rPr>
              <w:t>1,115,051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1,067,290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953,016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826,958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761,114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3" w:right="260" w:hanging="323"/>
        <w:spacing w:after="0" w:line="295" w:lineRule="auto"/>
        <w:tabs>
          <w:tab w:leader="none" w:pos="323"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In fiscal 2018, we adopted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elected the modified retrospective method of adoption. Periods prior to fiscal 2018 have not been adjusted.</w:t>
      </w:r>
    </w:p>
    <w:p>
      <w:pPr>
        <w:spacing w:after="0" w:line="200" w:lineRule="exact"/>
        <w:rPr>
          <w:sz w:val="20"/>
          <w:szCs w:val="20"/>
          <w:color w:val="auto"/>
        </w:rPr>
      </w:pPr>
    </w:p>
    <w:p>
      <w:pPr>
        <w:spacing w:after="0" w:line="383"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638810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3"/>
          </w:cols>
          <w:pgMar w:left="917" w:top="513" w:right="8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ind w:right="240" w:firstLine="319"/>
        <w:spacing w:after="0" w:line="287" w:lineRule="auto"/>
        <w:rPr>
          <w:sz w:val="20"/>
          <w:szCs w:val="20"/>
          <w:color w:val="auto"/>
        </w:rPr>
      </w:pPr>
      <w:r>
        <w:rPr>
          <w:rFonts w:ascii="Arial" w:cs="Arial" w:eastAsia="Arial" w:hAnsi="Arial"/>
          <w:sz w:val="16"/>
          <w:szCs w:val="16"/>
          <w:color w:val="auto"/>
        </w:rPr>
        <w:t>The following discussion and analysis of financial condition and results of operations should be read in conjunction with the Consolidated Financial Statements and related notes thereto included elsewhere in this report. This discussion contains forward-looking statements. Please see the “Cautionary Statement” and “Risk Factors” above for discussions of the uncertainties, risks and assumptions associated with these statements. Our fiscal year-end financial reporting periods are a 52- or 53-week fiscal year that ends on the Saturday closest to December 31. Fiscal 2019, 2018 and 2017 were 52-week years and ended on December 28, 2019, December 29, 2018 and December 30, 2017, respectively. Fiscal 2020 will have 53 weeks with the extra week occurring in the first quarter of the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4" w:lineRule="exact"/>
        <w:rPr>
          <w:sz w:val="20"/>
          <w:szCs w:val="20"/>
          <w:color w:val="auto"/>
        </w:rPr>
      </w:pPr>
    </w:p>
    <w:p>
      <w:pPr>
        <w:ind w:right="180" w:firstLine="319"/>
        <w:spacing w:after="0" w:line="269" w:lineRule="auto"/>
        <w:rPr>
          <w:sz w:val="20"/>
          <w:szCs w:val="20"/>
          <w:color w:val="auto"/>
        </w:rPr>
      </w:pPr>
      <w:r>
        <w:rPr>
          <w:rFonts w:ascii="Arial" w:cs="Arial" w:eastAsia="Arial" w:hAnsi="Arial"/>
          <w:sz w:val="17"/>
          <w:szCs w:val="17"/>
          <w:color w:val="auto"/>
        </w:rPr>
        <w:t>We are a leading provider of silicon, software and solutions for a smarter, more connected world. Our award-winning technologies are shaping the future of the Internet of Things (IoT), Internet infrastructure, industrial automation, consumer and automotive markets. Our world-class engineering team creates products focused on performance, energy savings, connectivity and simplicity. Our primary semiconductor products are mixed-signal integrated circuits (ICs), which are electronic components that convert real-world analog signals, such as sound and radio waves, into digital signals that electronic products can process.</w:t>
      </w:r>
    </w:p>
    <w:p>
      <w:pPr>
        <w:spacing w:after="0" w:line="140" w:lineRule="exact"/>
        <w:rPr>
          <w:sz w:val="20"/>
          <w:szCs w:val="20"/>
          <w:color w:val="auto"/>
        </w:rPr>
      </w:pPr>
    </w:p>
    <w:p>
      <w:pPr>
        <w:ind w:firstLine="319"/>
        <w:spacing w:after="0" w:line="290" w:lineRule="auto"/>
        <w:rPr>
          <w:sz w:val="20"/>
          <w:szCs w:val="20"/>
          <w:color w:val="auto"/>
        </w:rPr>
      </w:pPr>
      <w:r>
        <w:rPr>
          <w:rFonts w:ascii="Arial" w:cs="Arial" w:eastAsia="Arial" w:hAnsi="Arial"/>
          <w:sz w:val="16"/>
          <w:szCs w:val="16"/>
          <w:color w:val="auto"/>
        </w:rPr>
        <w:t>As a fabless semiconductor company, we rely on third-party semiconductor fabricators in Asia, and to a lesser extent the United States and Europe, to manufacture the silicon wafers that reflect our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38"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Our expertise in analog-intensive, high-performance, mixed-signal ICs and software enables us to develop highly differentiated solutions that address multiple markets. We group our products into the following categories:</w:t>
      </w:r>
    </w:p>
    <w:p>
      <w:pPr>
        <w:spacing w:after="0" w:line="139" w:lineRule="exact"/>
        <w:rPr>
          <w:sz w:val="20"/>
          <w:szCs w:val="20"/>
          <w:color w:val="auto"/>
        </w:rPr>
      </w:pPr>
    </w:p>
    <w:p>
      <w:pPr>
        <w:ind w:left="660" w:hanging="31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Internet of Things products, which include wireless, microcontroller (MCU) and sensor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Broadcast products, which include broadcast consumer and automotive products;</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Infrastructure products, which include timing products (clocks and oscillators), and isolation devices; and</w:t>
      </w:r>
    </w:p>
    <w:p>
      <w:pPr>
        <w:spacing w:after="0" w:line="111" w:lineRule="exact"/>
        <w:rPr>
          <w:rFonts w:ascii="Arial" w:cs="Arial" w:eastAsia="Arial" w:hAnsi="Arial"/>
          <w:sz w:val="18"/>
          <w:szCs w:val="18"/>
          <w:color w:val="auto"/>
        </w:rPr>
      </w:pPr>
    </w:p>
    <w:p>
      <w:pPr>
        <w:ind w:left="660" w:hanging="317"/>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Access products, which include Voice over IP (VoIP) products, embedded modems and Power over Ethernet (PoE) devices.</w:t>
      </w:r>
    </w:p>
    <w:p>
      <w:pPr>
        <w:spacing w:after="0" w:line="216" w:lineRule="exact"/>
        <w:rPr>
          <w:sz w:val="20"/>
          <w:szCs w:val="20"/>
          <w:color w:val="auto"/>
        </w:rPr>
      </w:pPr>
    </w:p>
    <w:p>
      <w:pPr>
        <w:jc w:val="both"/>
        <w:ind w:right="40" w:firstLine="319"/>
        <w:spacing w:after="0" w:line="322" w:lineRule="auto"/>
        <w:rPr>
          <w:sz w:val="20"/>
          <w:szCs w:val="20"/>
          <w:color w:val="auto"/>
        </w:rPr>
      </w:pPr>
      <w:r>
        <w:rPr>
          <w:rFonts w:ascii="Arial" w:cs="Arial" w:eastAsia="Arial" w:hAnsi="Arial"/>
          <w:sz w:val="14"/>
          <w:szCs w:val="14"/>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w:t>
      </w:r>
    </w:p>
    <w:p>
      <w:pPr>
        <w:spacing w:after="0" w:line="1" w:lineRule="exact"/>
        <w:rPr>
          <w:sz w:val="20"/>
          <w:szCs w:val="20"/>
          <w:color w:val="auto"/>
        </w:rPr>
      </w:pPr>
    </w:p>
    <w:p>
      <w:pPr>
        <w:jc w:val="both"/>
        <w:ind w:right="140"/>
        <w:spacing w:after="0" w:line="277" w:lineRule="auto"/>
        <w:rPr>
          <w:sz w:val="20"/>
          <w:szCs w:val="20"/>
          <w:color w:val="auto"/>
        </w:rPr>
      </w:pPr>
      <w:r>
        <w:rPr>
          <w:rFonts w:ascii="Arial" w:cs="Arial" w:eastAsia="Arial" w:hAnsi="Arial"/>
          <w:sz w:val="16"/>
          <w:szCs w:val="16"/>
          <w:color w:val="auto"/>
        </w:rPr>
        <w:t>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w:t>
      </w:r>
    </w:p>
    <w:p>
      <w:pPr>
        <w:spacing w:after="0" w:line="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Accordingly, if we incur substantial research and development costs without developing a commercially successful product, our operating results, as well as our growth prospects, could be adversely affected.</w:t>
      </w:r>
    </w:p>
    <w:p>
      <w:pPr>
        <w:spacing w:after="0" w:line="164" w:lineRule="exact"/>
        <w:rPr>
          <w:sz w:val="20"/>
          <w:szCs w:val="20"/>
          <w:color w:val="auto"/>
        </w:rPr>
      </w:pPr>
    </w:p>
    <w:p>
      <w:pPr>
        <w:ind w:right="40" w:firstLine="319"/>
        <w:spacing w:after="0" w:line="278" w:lineRule="auto"/>
        <w:rPr>
          <w:sz w:val="20"/>
          <w:szCs w:val="20"/>
          <w:color w:val="auto"/>
        </w:rPr>
      </w:pPr>
      <w:r>
        <w:rPr>
          <w:rFonts w:ascii="Arial" w:cs="Arial" w:eastAsia="Arial" w:hAnsi="Arial"/>
          <w:sz w:val="17"/>
          <w:szCs w:val="17"/>
          <w:color w:val="auto"/>
        </w:rPr>
        <w:t>Because some of our ICs are designed for use in consumer products such as televisions, set-top boxes and radios,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Period Highlights</w:t>
      </w:r>
    </w:p>
    <w:p>
      <w:pPr>
        <w:spacing w:after="0" w:line="211" w:lineRule="exact"/>
        <w:rPr>
          <w:sz w:val="20"/>
          <w:szCs w:val="20"/>
          <w:color w:val="auto"/>
        </w:rPr>
      </w:pPr>
    </w:p>
    <w:p>
      <w:pPr>
        <w:ind w:right="60" w:firstLine="319"/>
        <w:spacing w:after="0" w:line="286" w:lineRule="auto"/>
        <w:rPr>
          <w:sz w:val="20"/>
          <w:szCs w:val="20"/>
          <w:color w:val="auto"/>
        </w:rPr>
      </w:pPr>
      <w:r>
        <w:rPr>
          <w:rFonts w:ascii="Arial" w:cs="Arial" w:eastAsia="Arial" w:hAnsi="Arial"/>
          <w:sz w:val="16"/>
          <w:szCs w:val="16"/>
          <w:color w:val="auto"/>
        </w:rPr>
        <w:t>Revenues decreased $30.7 million in fiscal 2019 compared to fiscal 2018, due to decreased revenues from our Infrastructure, Broadcast and Access products offset by increased revenues from our IoT products. Gross profit decreased $11.1 million during the same period due primarily to decreased product sales. Gross margin increased to 60.9% in fiscal 2019 compared to 60.1% in fiscal 2018 primarily due to the fair value write-up associated with acquired inventory in fiscal 2018, offset in part by a decrease resulting from variations in product mix. Operating expenses increased $17.4 million in fiscal 2019 compared to fiscal 2018 due primarily to increased personnel-related expenses, occupancy costs and amortization of intangible assets, offset in part by decreased acquisition-related costs and sales commissions. Operating income in fiscal 2019 was $56.7 million compared to $85.2 million in fiscal 2018.</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100" cy="17145"/>
                    </a:xfrm>
                    <a:prstGeom prst="rect">
                      <a:avLst/>
                    </a:prstGeom>
                    <a:noFill/>
                  </pic:spPr>
                </pic:pic>
              </a:graphicData>
            </a:graphic>
          </wp:anchor>
        </w:drawing>
      </w:r>
    </w:p>
    <w:p>
      <w:pPr>
        <w:sectPr>
          <w:pgSz w:w="11900" w:h="16838" w:orient="portrait"/>
          <w:cols w:equalWidth="0" w:num="1">
            <w:col w:w="10020"/>
          </w:cols>
          <w:pgMar w:left="920" w:top="513" w:right="9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20" w:firstLine="319"/>
        <w:spacing w:after="0" w:line="253" w:lineRule="auto"/>
        <w:rPr>
          <w:sz w:val="20"/>
          <w:szCs w:val="20"/>
          <w:color w:val="auto"/>
        </w:rPr>
      </w:pPr>
      <w:r>
        <w:rPr>
          <w:rFonts w:ascii="Arial" w:cs="Arial" w:eastAsia="Arial" w:hAnsi="Arial"/>
          <w:sz w:val="18"/>
          <w:szCs w:val="18"/>
          <w:color w:val="auto"/>
        </w:rPr>
        <w:t>We ended fiscal 2019 with $726.0 million in cash, cash equivalents and short-term investments. Net cash provided by operating activities was $166.5 million during fiscal 2019. Accounts receivable was $75.6 million at December 28, 2019, representing 31 days sales outstanding (DSO). Inventory was $73.1 million at December 28, 2019, representing 76 days of inventory (DOI). In fiscal 2019, we repurchased 0.3 million shares of our common stock for $26.7 million.</w:t>
      </w:r>
    </w:p>
    <w:p>
      <w:pPr>
        <w:spacing w:after="0" w:line="190" w:lineRule="exact"/>
        <w:rPr>
          <w:sz w:val="20"/>
          <w:szCs w:val="20"/>
          <w:color w:val="auto"/>
        </w:rPr>
      </w:pPr>
    </w:p>
    <w:p>
      <w:pPr>
        <w:ind w:right="100" w:firstLine="319"/>
        <w:spacing w:after="0" w:line="253" w:lineRule="auto"/>
        <w:rPr>
          <w:sz w:val="20"/>
          <w:szCs w:val="20"/>
          <w:color w:val="auto"/>
        </w:rPr>
      </w:pPr>
      <w:r>
        <w:rPr>
          <w:rFonts w:ascii="Arial" w:cs="Arial" w:eastAsia="Arial" w:hAnsi="Arial"/>
          <w:sz w:val="18"/>
          <w:szCs w:val="18"/>
          <w:color w:val="auto"/>
        </w:rPr>
        <w:t>Through acquisitions and internal development efforts, we have continued to diversify our product portfolio and introduce new products and solutions with added functionality and further integration. In October 2019, we acquired IEEE 1588 precision time protocol (PTP) software and module assets from Qulsar. This complementary portfolio simplifies adoption of IEEE 1588 synchronization in 5G wireless, transport and access networks.</w:t>
      </w:r>
    </w:p>
    <w:p>
      <w:pPr>
        <w:spacing w:after="0" w:line="190" w:lineRule="exact"/>
        <w:rPr>
          <w:sz w:val="20"/>
          <w:szCs w:val="20"/>
          <w:color w:val="auto"/>
        </w:rPr>
      </w:pPr>
    </w:p>
    <w:p>
      <w:pPr>
        <w:ind w:right="20" w:firstLine="319"/>
        <w:spacing w:after="0" w:line="270" w:lineRule="auto"/>
        <w:rPr>
          <w:sz w:val="20"/>
          <w:szCs w:val="20"/>
          <w:color w:val="auto"/>
        </w:rPr>
      </w:pPr>
      <w:r>
        <w:rPr>
          <w:rFonts w:ascii="Arial" w:cs="Arial" w:eastAsia="Arial" w:hAnsi="Arial"/>
          <w:sz w:val="16"/>
          <w:szCs w:val="16"/>
          <w:color w:val="auto"/>
        </w:rPr>
        <w:t>In fiscal 2019, we introduced new highly integrated Wireless Gecko modules that streamline secure IoT product design; a portfolio of automotive grade timing solutions designed to meet the demanding clocking needs of in-vehicle systems; robust isolated smart switches designed to drive loads in harsh industrial environments; hybrid software-defined radio (SDR) tuners supporting global digital radio standards with a common platform; 5G-ready jitter attenuators with new device options featuring a fully integrated crystal; the next generation of our Wireless Gecko platform, Series 2, designed to make IoT products more powerful, efficient and reliable; a portfolio of timing solutions that provide superior jitter performance and meet the latest generation PCI Express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(PCIe</w:t>
      </w:r>
      <w:r>
        <w:rPr>
          <w:rFonts w:ascii="Arial" w:cs="Arial" w:eastAsia="Arial" w:hAnsi="Arial"/>
          <w:sz w:val="23"/>
          <w:szCs w:val="23"/>
          <w:color w:val="auto"/>
          <w:vertAlign w:val="superscript"/>
        </w:rPr>
        <w:t>®</w:t>
      </w:r>
      <w:r>
        <w:rPr>
          <w:rFonts w:ascii="Arial" w:cs="Arial" w:eastAsia="Arial" w:hAnsi="Arial"/>
          <w:sz w:val="16"/>
          <w:szCs w:val="16"/>
          <w:color w:val="auto"/>
        </w:rPr>
        <w:t>) 5.0 specification; isolation products designed to provide precise current and voltage measurement with very low temperature drift; new Bluetooth software for our Wireless Gecko portfolio that increases location services accuracy; and Wi-Fi modules and transceivers that cut power consumption for IoT applications. We plan to continue to introduce products that increase the content we provide for existing applications, thereby enabling us to serve markets we do not currently address and expand our total available market opportunity.</w:t>
      </w:r>
    </w:p>
    <w:p>
      <w:pPr>
        <w:spacing w:after="0" w:line="178" w:lineRule="exact"/>
        <w:rPr>
          <w:sz w:val="20"/>
          <w:szCs w:val="20"/>
          <w:color w:val="auto"/>
        </w:rPr>
      </w:pPr>
    </w:p>
    <w:p>
      <w:pPr>
        <w:ind w:firstLine="319"/>
        <w:spacing w:after="0" w:line="266" w:lineRule="auto"/>
        <w:rPr>
          <w:sz w:val="20"/>
          <w:szCs w:val="20"/>
          <w:color w:val="auto"/>
        </w:rPr>
      </w:pPr>
      <w:r>
        <w:rPr>
          <w:rFonts w:ascii="Arial" w:cs="Arial" w:eastAsia="Arial" w:hAnsi="Arial"/>
          <w:sz w:val="17"/>
          <w:szCs w:val="17"/>
          <w:color w:val="auto"/>
        </w:rPr>
        <w:t>During fiscal 2019, 2018 and 2017,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who sell to our customers, Arrow Electronics and Edom Technology, each represented 26% and 20% of our revenues during fiscal 2019, and 21% and 17% of our revenues during fiscal 2018, respectively. Edom, Avnet and Arrow, each represented 19%, 14% and 12% of our revenues during fiscal 2017, respectively.</w:t>
      </w:r>
    </w:p>
    <w:p>
      <w:pPr>
        <w:spacing w:after="0" w:line="180" w:lineRule="exact"/>
        <w:rPr>
          <w:sz w:val="20"/>
          <w:szCs w:val="20"/>
          <w:color w:val="auto"/>
        </w:rPr>
      </w:pPr>
    </w:p>
    <w:p>
      <w:pPr>
        <w:ind w:right="160" w:firstLine="319"/>
        <w:spacing w:after="0" w:line="256" w:lineRule="auto"/>
        <w:rPr>
          <w:sz w:val="20"/>
          <w:szCs w:val="20"/>
          <w:color w:val="auto"/>
        </w:rPr>
      </w:pPr>
      <w:r>
        <w:rPr>
          <w:rFonts w:ascii="Arial" w:cs="Arial" w:eastAsia="Arial" w:hAnsi="Arial"/>
          <w:sz w:val="18"/>
          <w:szCs w:val="18"/>
          <w:color w:val="auto"/>
        </w:rPr>
        <w:t>The percentage of our revenues derived from outside of the United States was 87% in fiscal 2019, 83% in fiscal 2018 and 85% in fiscal 2017. All of our revenues to date have been denominated in U.S. dollars. We believe that a majority of our revenues will continue to be derived from customers outside of the United States.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describes the line items set forth in our Consolidated Statements of Income:</w:t>
      </w:r>
    </w:p>
    <w:p>
      <w:pPr>
        <w:spacing w:after="0" w:line="212" w:lineRule="exact"/>
        <w:rPr>
          <w:sz w:val="20"/>
          <w:szCs w:val="20"/>
          <w:color w:val="auto"/>
        </w:rPr>
      </w:pPr>
    </w:p>
    <w:p>
      <w:pPr>
        <w:ind w:right="200" w:firstLine="319"/>
        <w:spacing w:after="0" w:line="337"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Revenues are generated predominately by sales of our products. Our revenues are subject to variation from period to period</w:t>
      </w:r>
      <w:r>
        <w:rPr>
          <w:rFonts w:ascii="Arial" w:cs="Arial" w:eastAsia="Arial" w:hAnsi="Arial"/>
          <w:sz w:val="16"/>
          <w:szCs w:val="16"/>
          <w:b w:val="1"/>
          <w:bCs w:val="1"/>
          <w:color w:val="auto"/>
        </w:rPr>
        <w:t xml:space="preserve"> </w:t>
      </w:r>
      <w:r>
        <w:rPr>
          <w:rFonts w:ascii="Arial" w:cs="Arial" w:eastAsia="Arial" w:hAnsi="Arial"/>
          <w:sz w:val="16"/>
          <w:szCs w:val="16"/>
          <w:color w:val="auto"/>
        </w:rPr>
        <w:t>due to the volume of shipments made within a period, the mix of products we sell and the prices we charge for our products.</w:t>
      </w:r>
    </w:p>
    <w:p>
      <w:pPr>
        <w:spacing w:after="0" w:line="121" w:lineRule="exact"/>
        <w:rPr>
          <w:sz w:val="20"/>
          <w:szCs w:val="20"/>
          <w:color w:val="auto"/>
        </w:rPr>
      </w:pPr>
    </w:p>
    <w:p>
      <w:pPr>
        <w:ind w:right="80" w:firstLine="319"/>
        <w:spacing w:after="0" w:line="253"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Cost of revenues includes the cost of purchasing finished silicon wafers processed by independent foundries;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assembly, test and shipping of those products; costs of personnel and equipment associated with manufacturing support, logistics and quality assurance; costs of software royalties, other intellectual property license costs and certain acquired intangible assets; and an allocated portion of our occupancy costs. Our gross margin fluctuates depending on product mix, manufacturing yields, inventory valuation adjustments, average selling prices and other factors.</w:t>
      </w:r>
    </w:p>
    <w:p>
      <w:pPr>
        <w:spacing w:after="0" w:line="185" w:lineRule="exact"/>
        <w:rPr>
          <w:sz w:val="20"/>
          <w:szCs w:val="20"/>
          <w:color w:val="auto"/>
        </w:rPr>
      </w:pPr>
    </w:p>
    <w:p>
      <w:pPr>
        <w:ind w:right="160" w:firstLine="319"/>
        <w:spacing w:after="0" w:line="297"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Research and development expense consists primarily of personnel-related expenses, including stock-based compensation, as 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right="360" w:firstLine="319"/>
        <w:spacing w:after="0" w:line="307" w:lineRule="auto"/>
        <w:rPr>
          <w:sz w:val="20"/>
          <w:szCs w:val="20"/>
          <w:color w:val="auto"/>
        </w:rPr>
      </w:pPr>
      <w:r>
        <w:rPr>
          <w:rFonts w:ascii="Arial" w:cs="Arial" w:eastAsia="Arial" w:hAnsi="Arial"/>
          <w:sz w:val="16"/>
          <w:szCs w:val="16"/>
          <w:b w:val="1"/>
          <w:bCs w:val="1"/>
          <w:color w:val="auto"/>
        </w:rPr>
        <w:t xml:space="preserve">Selling, General and Administrative. </w:t>
      </w:r>
      <w:r>
        <w:rPr>
          <w:rFonts w:ascii="Arial" w:cs="Arial" w:eastAsia="Arial" w:hAnsi="Arial"/>
          <w:sz w:val="16"/>
          <w:szCs w:val="16"/>
          <w:color w:val="auto"/>
        </w:rPr>
        <w:t>Selling, general and administrative expense consists primarily of personnel-related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stock-based compensation, as well as an allocated portion of our occupancy costs, sales commissions to independent sales representatives, amortization of intangible assets, professional fees, legal fees, and promotional and marketing expenses.</w:t>
      </w:r>
    </w:p>
    <w:p>
      <w:pPr>
        <w:spacing w:after="0" w:line="144" w:lineRule="exact"/>
        <w:rPr>
          <w:sz w:val="20"/>
          <w:szCs w:val="20"/>
          <w:color w:val="auto"/>
        </w:rPr>
      </w:pPr>
    </w:p>
    <w:p>
      <w:pPr>
        <w:ind w:right="340" w:firstLine="319"/>
        <w:spacing w:after="0" w:line="303" w:lineRule="auto"/>
        <w:rPr>
          <w:sz w:val="20"/>
          <w:szCs w:val="20"/>
          <w:color w:val="auto"/>
        </w:rPr>
      </w:pPr>
      <w:r>
        <w:rPr>
          <w:rFonts w:ascii="Arial" w:cs="Arial" w:eastAsia="Arial" w:hAnsi="Arial"/>
          <w:sz w:val="17"/>
          <w:szCs w:val="17"/>
          <w:b w:val="1"/>
          <w:bCs w:val="1"/>
          <w:color w:val="auto"/>
        </w:rPr>
        <w:t xml:space="preserve">Interest Income and Other, Net. </w:t>
      </w:r>
      <w:r>
        <w:rPr>
          <w:rFonts w:ascii="Arial" w:cs="Arial" w:eastAsia="Arial" w:hAnsi="Arial"/>
          <w:sz w:val="17"/>
          <w:szCs w:val="17"/>
          <w:color w:val="auto"/>
        </w:rPr>
        <w:t>Interest income and other, net reflects interest earned on our cash, cash equivalents and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balances, foreign currency remeasurement adjustments and other non-operating income and expenses.</w:t>
      </w:r>
    </w:p>
    <w:p>
      <w:pPr>
        <w:spacing w:after="0" w:line="144" w:lineRule="exact"/>
        <w:rPr>
          <w:sz w:val="20"/>
          <w:szCs w:val="20"/>
          <w:color w:val="auto"/>
        </w:rPr>
      </w:pPr>
    </w:p>
    <w:p>
      <w:pPr>
        <w:ind w:right="60" w:firstLine="319"/>
        <w:spacing w:after="0" w:line="259"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Interest expense consists of interest on our short and long-term obligations, including our convertible senior notes and</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facility. Interest expense on our convertible senior notes includes contractual interest, amortization of the debt discount and amortization of debt issuance costs.</w:t>
      </w:r>
    </w:p>
    <w:p>
      <w:pPr>
        <w:spacing w:after="0" w:line="180" w:lineRule="exact"/>
        <w:rPr>
          <w:sz w:val="20"/>
          <w:szCs w:val="20"/>
          <w:color w:val="auto"/>
        </w:rPr>
      </w:pPr>
    </w:p>
    <w:p>
      <w:pPr>
        <w:ind w:right="420" w:firstLine="319"/>
        <w:spacing w:after="0" w:line="337" w:lineRule="auto"/>
        <w:rPr>
          <w:sz w:val="20"/>
          <w:szCs w:val="20"/>
          <w:color w:val="auto"/>
        </w:rPr>
      </w:pPr>
      <w:r>
        <w:rPr>
          <w:rFonts w:ascii="Arial" w:cs="Arial" w:eastAsia="Arial" w:hAnsi="Arial"/>
          <w:sz w:val="16"/>
          <w:szCs w:val="16"/>
          <w:b w:val="1"/>
          <w:bCs w:val="1"/>
          <w:color w:val="auto"/>
        </w:rPr>
        <w:t xml:space="preserve">Provision (Benefit) for Income Taxes. </w:t>
      </w:r>
      <w:r>
        <w:rPr>
          <w:rFonts w:ascii="Arial" w:cs="Arial" w:eastAsia="Arial" w:hAnsi="Arial"/>
          <w:sz w:val="16"/>
          <w:szCs w:val="16"/>
          <w:color w:val="auto"/>
        </w:rPr>
        <w:t>Provision (benefit) for income taxes includes both domestic and foreign income taxes at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tax rates adjusted for non-deductible expenses, research and development tax credits and other permanent differences.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our Consolidated Statements of Income data as a percentage of revenues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w w:val="91"/>
              </w:rPr>
              <w:t>Fiscal Year</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80"/>
              <w:spacing w:after="0" w:line="13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660" w:type="dxa"/>
            <w:vAlign w:val="bottom"/>
            <w:gridSpan w:val="2"/>
          </w:tcPr>
          <w:p>
            <w:pPr>
              <w:jc w:val="right"/>
              <w:ind w:right="71"/>
              <w:spacing w:after="0" w:line="13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53"/>
              <w:spacing w:after="0" w:line="13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100.0</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3"/>
              </w:rPr>
              <w:t>100.0</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Gross margin</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60.9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60.1</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59.1</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right w:val="single" w:sz="8" w:color="CCEEFF"/>
            </w:tcBorders>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54.1</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50.3</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48.0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20" w:type="dxa"/>
            <w:vAlign w:val="bottom"/>
            <w:gridSpan w:val="2"/>
          </w:tcPr>
          <w:p>
            <w:pPr>
              <w:ind w:left="1000"/>
              <w:spacing w:after="0" w:line="205" w:lineRule="exact"/>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line="206" w:lineRule="exact"/>
              <w:rPr>
                <w:sz w:val="20"/>
                <w:szCs w:val="20"/>
                <w:color w:val="auto"/>
              </w:rPr>
            </w:pPr>
            <w:r>
              <w:rPr>
                <w:rFonts w:ascii="Arial" w:cs="Arial" w:eastAsia="Arial" w:hAnsi="Arial"/>
                <w:sz w:val="18"/>
                <w:szCs w:val="18"/>
                <w:color w:val="auto"/>
              </w:rPr>
              <w:t>9.8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line="206" w:lineRule="exact"/>
              <w:rPr>
                <w:sz w:val="20"/>
                <w:szCs w:val="20"/>
                <w:color w:val="auto"/>
              </w:rPr>
            </w:pPr>
            <w:r>
              <w:rPr>
                <w:rFonts w:ascii="Arial" w:cs="Arial" w:eastAsia="Arial" w:hAnsi="Arial"/>
                <w:sz w:val="18"/>
                <w:szCs w:val="18"/>
                <w:color w:val="auto"/>
              </w:rPr>
              <w:t>11.1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Interest income and other,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20" w:type="dxa"/>
            <w:vAlign w:val="bottom"/>
            <w:gridSpan w:val="2"/>
          </w:tcPr>
          <w:p>
            <w:pPr>
              <w:ind w:left="1000"/>
              <w:spacing w:after="0" w:line="205" w:lineRule="exact"/>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gridSpan w:val="2"/>
          </w:tcPr>
          <w:p>
            <w:pPr>
              <w:jc w:val="right"/>
              <w:ind w:right="100"/>
              <w:spacing w:after="0" w:line="206"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20" w:type="dxa"/>
            <w:vAlign w:val="bottom"/>
            <w:gridSpan w:val="2"/>
          </w:tcPr>
          <w:p>
            <w:pPr>
              <w:ind w:left="1000"/>
              <w:spacing w:after="0" w:line="206" w:lineRule="exact"/>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100"/>
              <w:spacing w:after="0" w:line="206" w:lineRule="exact"/>
              <w:rPr>
                <w:sz w:val="20"/>
                <w:szCs w:val="20"/>
                <w:color w:val="auto"/>
              </w:rPr>
            </w:pPr>
            <w:r>
              <w:rPr>
                <w:rFonts w:ascii="Arial" w:cs="Arial" w:eastAsia="Arial" w:hAnsi="Arial"/>
                <w:sz w:val="18"/>
                <w:szCs w:val="18"/>
                <w:color w:val="auto"/>
              </w:rPr>
              <w:t>2.3</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9.6</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4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6.1</w:t>
            </w:r>
          </w:p>
        </w:tc>
        <w:tc>
          <w:tcPr>
            <w:tcW w:w="160" w:type="dxa"/>
            <w:vAlign w:val="bottom"/>
          </w:tcPr>
          <w:p>
            <w:pPr>
              <w:jc w:val="right"/>
              <w:spacing w:after="0" w:line="206" w:lineRule="exact"/>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Fiscal 2019 to Fiscal 2018</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6"/>
          </w:tcPr>
          <w:p>
            <w:pPr>
              <w:jc w:val="right"/>
              <w:ind w:right="648"/>
              <w:spacing w:after="0"/>
              <w:rPr>
                <w:sz w:val="20"/>
                <w:szCs w:val="20"/>
                <w:color w:val="auto"/>
              </w:rPr>
            </w:pPr>
            <w:r>
              <w:rPr>
                <w:rFonts w:ascii="Arial" w:cs="Arial" w:eastAsia="Arial" w:hAnsi="Arial"/>
                <w:sz w:val="14"/>
                <w:szCs w:val="14"/>
                <w:b w:val="1"/>
                <w:bCs w:val="1"/>
                <w:color w:val="auto"/>
              </w:rPr>
              <w:t>Fiscal Year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622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76"/>
              <w:spacing w:after="0" w:line="13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71"/>
              <w:spacing w:after="0" w:line="13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71"/>
              <w:spacing w:after="0" w:line="139"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820" w:type="dxa"/>
            <w:vAlign w:val="bottom"/>
            <w:gridSpan w:val="2"/>
          </w:tcPr>
          <w:p>
            <w:pPr>
              <w:jc w:val="right"/>
              <w:ind w:right="171"/>
              <w:spacing w:after="0" w:line="139"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6"/>
        </w:trPr>
        <w:tc>
          <w:tcPr>
            <w:tcW w:w="622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Internet of Things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488.2</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right w:val="single" w:sz="8" w:color="CCEEFF"/>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463.8</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24.4</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3"/>
        </w:trPr>
        <w:tc>
          <w:tcPr>
            <w:tcW w:w="6220" w:type="dxa"/>
            <w:vAlign w:val="bottom"/>
            <w:gridSpan w:val="2"/>
          </w:tcPr>
          <w:p>
            <w:pPr>
              <w:spacing w:after="0"/>
              <w:rPr>
                <w:sz w:val="20"/>
                <w:szCs w:val="20"/>
                <w:color w:val="auto"/>
              </w:rPr>
            </w:pPr>
            <w:r>
              <w:rPr>
                <w:rFonts w:ascii="Arial" w:cs="Arial" w:eastAsia="Arial" w:hAnsi="Arial"/>
                <w:sz w:val="18"/>
                <w:szCs w:val="18"/>
                <w:color w:val="auto"/>
              </w:rPr>
              <w:t>Infrastructure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3"/>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Broadcast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3"/>
        </w:trPr>
        <w:tc>
          <w:tcPr>
            <w:tcW w:w="6220" w:type="dxa"/>
            <w:vAlign w:val="bottom"/>
            <w:gridSpan w:val="2"/>
          </w:tcPr>
          <w:p>
            <w:pPr>
              <w:spacing w:after="0"/>
              <w:rPr>
                <w:sz w:val="20"/>
                <w:szCs w:val="20"/>
                <w:color w:val="auto"/>
              </w:rPr>
            </w:pPr>
            <w:r>
              <w:rPr>
                <w:rFonts w:ascii="Arial" w:cs="Arial" w:eastAsia="Arial" w:hAnsi="Arial"/>
                <w:sz w:val="18"/>
                <w:szCs w:val="18"/>
                <w:color w:val="auto"/>
              </w:rPr>
              <w:t>Access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6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2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837.6</w:t>
            </w:r>
          </w:p>
        </w:tc>
        <w:tc>
          <w:tcPr>
            <w:tcW w:w="180" w:type="dxa"/>
            <w:vAlign w:val="bottom"/>
            <w:tcBorders>
              <w:right w:val="single" w:sz="8" w:color="CCEEFF"/>
            </w:tcBorders>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868.3</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(30.7)</w:t>
            </w:r>
          </w:p>
        </w:tc>
        <w:tc>
          <w:tcPr>
            <w:tcW w:w="2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revenues in fiscal 2019 was due primarily to:</w:t>
      </w:r>
    </w:p>
    <w:p>
      <w:pPr>
        <w:spacing w:after="0" w:line="218" w:lineRule="exact"/>
        <w:rPr>
          <w:sz w:val="20"/>
          <w:szCs w:val="20"/>
          <w:color w:val="auto"/>
        </w:rPr>
      </w:pPr>
    </w:p>
    <w:p>
      <w:pPr>
        <w:ind w:left="660" w:right="680" w:hanging="317"/>
        <w:spacing w:after="0" w:line="29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revenues of $24.4 million for our IoT products, due primarily to the addition of revenues from an acquisition and increased demand for our wireless products offset by decreased demand for our MCU products.</w:t>
      </w:r>
    </w:p>
    <w:p>
      <w:pPr>
        <w:spacing w:after="0" w:line="51" w:lineRule="exact"/>
        <w:rPr>
          <w:rFonts w:ascii="Arial" w:cs="Arial" w:eastAsia="Arial" w:hAnsi="Arial"/>
          <w:sz w:val="17"/>
          <w:szCs w:val="17"/>
          <w:color w:val="auto"/>
        </w:rPr>
      </w:pPr>
    </w:p>
    <w:p>
      <w:pPr>
        <w:ind w:left="660" w:right="60" w:hanging="317"/>
        <w:spacing w:after="0" w:line="26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revenues of $16.3 million for our Infrastructure products, due primarily to decreased demand for our timing and isolation products.</w:t>
      </w:r>
    </w:p>
    <w:p>
      <w:pPr>
        <w:spacing w:after="0" w:line="72" w:lineRule="exact"/>
        <w:rPr>
          <w:rFonts w:ascii="Arial" w:cs="Arial" w:eastAsia="Arial" w:hAnsi="Arial"/>
          <w:sz w:val="18"/>
          <w:szCs w:val="18"/>
          <w:color w:val="auto"/>
        </w:rPr>
      </w:pPr>
    </w:p>
    <w:p>
      <w:pPr>
        <w:ind w:left="660" w:right="600" w:hanging="317"/>
        <w:spacing w:after="0" w:line="26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revenues of $26.5 million for Broadcast products, due primarily to decreased demand for our consumer broadcast products and decreased demand for our automotive broadcast products.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2" w:right="8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660" w:right="100" w:hanging="317"/>
        <w:spacing w:after="0" w:line="26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revenues of $12.3 million for our Access products, due primarily to decreased demand for our products and a decreasing market for such products.</w:t>
      </w:r>
    </w:p>
    <w:p>
      <w:pPr>
        <w:spacing w:after="0" w:line="179" w:lineRule="exact"/>
        <w:rPr>
          <w:sz w:val="20"/>
          <w:szCs w:val="20"/>
          <w:color w:val="auto"/>
        </w:rPr>
      </w:pPr>
    </w:p>
    <w:p>
      <w:pPr>
        <w:ind w:right="60" w:firstLine="319"/>
        <w:spacing w:after="0" w:line="272" w:lineRule="auto"/>
        <w:rPr>
          <w:sz w:val="20"/>
          <w:szCs w:val="20"/>
          <w:color w:val="auto"/>
        </w:rPr>
      </w:pPr>
      <w:r>
        <w:rPr>
          <w:rFonts w:ascii="Arial" w:cs="Arial" w:eastAsia="Arial" w:hAnsi="Arial"/>
          <w:sz w:val="17"/>
          <w:szCs w:val="17"/>
          <w:color w:val="auto"/>
        </w:rPr>
        <w:t>Unit volumes of our products decreased by 3.8% and average selling prices increased by 0.2% compared to fiscal 2018. The average selling prices of our products may fluctuate significantly from period to period due to changes in product mix and other factors. In general, as our products become more mature, we expect to experience decreases in average selling prices. We anticipate that newly announced, higher priced, next generation products and product derivatives will offset some of these decreases.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39"/>
        </w:trPr>
        <w:tc>
          <w:tcPr>
            <w:tcW w:w="6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00"/>
              <w:spacing w:after="0" w:line="139"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7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510.3</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521.4</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(11.1)</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60.9 %</w:t>
            </w: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60.1 %</w:t>
            </w: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0" w:firstLine="319"/>
        <w:spacing w:after="0" w:line="268" w:lineRule="auto"/>
        <w:rPr>
          <w:sz w:val="20"/>
          <w:szCs w:val="20"/>
          <w:color w:val="auto"/>
        </w:rPr>
      </w:pPr>
      <w:r>
        <w:rPr>
          <w:rFonts w:ascii="Arial" w:cs="Arial" w:eastAsia="Arial" w:hAnsi="Arial"/>
          <w:sz w:val="17"/>
          <w:szCs w:val="17"/>
          <w:color w:val="auto"/>
        </w:rPr>
        <w:t>Gross profit decreased in fiscal 2019 due primarily to decreased product sales. The change in gross profit in fiscal 2019 was due to decreases in gross profit of $20.8 million for our Infrastructure products, $13.2 million for our Broadcast products and $8.0 million for our Access products, offset by an increase in gross profit of $30.9 million for our Internet of Things products. Gross profit in fiscal 2018 included $6.1 million in acquisition-related charges for the fair value write-up associated with acquired inventory. Gross margin increased in fiscal 2019 primarily due to the impact of the fair value write-up associated with acquired inventory in fiscal 2018. The increase in gross margin in fiscal 2019 was offset in part by a decrease in gross margin resulting from variations in product mix.</w:t>
      </w:r>
    </w:p>
    <w:p>
      <w:pPr>
        <w:spacing w:after="0" w:line="179" w:lineRule="exact"/>
        <w:rPr>
          <w:sz w:val="20"/>
          <w:szCs w:val="20"/>
          <w:color w:val="auto"/>
        </w:rPr>
      </w:pPr>
    </w:p>
    <w:p>
      <w:pPr>
        <w:ind w:right="40" w:firstLine="319"/>
        <w:spacing w:after="0" w:line="251" w:lineRule="auto"/>
        <w:rPr>
          <w:sz w:val="20"/>
          <w:szCs w:val="20"/>
          <w:color w:val="auto"/>
        </w:rPr>
      </w:pPr>
      <w:r>
        <w:rPr>
          <w:rFonts w:ascii="Arial" w:cs="Arial" w:eastAsia="Arial" w:hAnsi="Arial"/>
          <w:sz w:val="18"/>
          <w:szCs w:val="18"/>
          <w:color w:val="auto"/>
        </w:rPr>
        <w:t>We may experience declines in the average selling prices of certain of our products. This creates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39"/>
        </w:trPr>
        <w:tc>
          <w:tcPr>
            <w:tcW w:w="6200" w:type="dxa"/>
            <w:vAlign w:val="bottom"/>
          </w:tcPr>
          <w:p>
            <w:pPr>
              <w:spacing w:after="0" w:line="13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760" w:type="dxa"/>
            <w:vAlign w:val="bottom"/>
          </w:tcPr>
          <w:p>
            <w:pPr>
              <w:jc w:val="right"/>
              <w:ind w:right="163"/>
              <w:spacing w:after="0" w:line="139"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7"/>
              <w:spacing w:after="0" w:line="139"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center"/>
              <w:ind w:right="71"/>
              <w:spacing w:after="0" w:line="139" w:lineRule="exact"/>
              <w:rPr>
                <w:sz w:val="20"/>
                <w:szCs w:val="20"/>
                <w:color w:val="auto"/>
              </w:rPr>
            </w:pPr>
            <w:r>
              <w:rPr>
                <w:rFonts w:ascii="Arial" w:cs="Arial" w:eastAsia="Arial" w:hAnsi="Arial"/>
                <w:sz w:val="14"/>
                <w:szCs w:val="14"/>
                <w:b w:val="1"/>
                <w:bCs w:val="1"/>
                <w:color w:val="auto"/>
                <w:w w:val="89"/>
              </w:rPr>
              <w:t>Change</w:t>
            </w:r>
          </w:p>
        </w:tc>
      </w:tr>
      <w:tr>
        <w:trPr>
          <w:trHeight w:val="206"/>
        </w:trPr>
        <w:tc>
          <w:tcPr>
            <w:tcW w:w="6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  257.2</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238.3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18.9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7.9</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Percent of revenue</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30.7 %</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89" w:lineRule="exact"/>
        <w:rPr>
          <w:sz w:val="20"/>
          <w:szCs w:val="20"/>
          <w:color w:val="auto"/>
        </w:rPr>
      </w:pPr>
    </w:p>
    <w:p>
      <w:pPr>
        <w:ind w:right="220" w:firstLine="319"/>
        <w:spacing w:after="0" w:line="253" w:lineRule="auto"/>
        <w:rPr>
          <w:sz w:val="20"/>
          <w:szCs w:val="20"/>
          <w:color w:val="auto"/>
        </w:rPr>
      </w:pPr>
      <w:r>
        <w:rPr>
          <w:rFonts w:ascii="Arial" w:cs="Arial" w:eastAsia="Arial" w:hAnsi="Arial"/>
          <w:sz w:val="18"/>
          <w:szCs w:val="18"/>
          <w:color w:val="auto"/>
        </w:rPr>
        <w:t>The increase in research and development expense in fiscal 2019 was primarily due to increases of $13.7 million for personnel-related expenses, including costs associated with increased headcount and an acquisition, $2.8 million for occupancy costs and $2.2 million for the amortization of intangible assets. We expect that research and development expense will increase in absolute dollars in the first quarter of 2020 compared to the fourth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vMerge w:val="restart"/>
          </w:tcPr>
          <w:p>
            <w:pPr>
              <w:spacing w:after="0"/>
              <w:rPr>
                <w:sz w:val="14"/>
                <w:szCs w:val="14"/>
                <w:color w:val="auto"/>
              </w:rPr>
            </w:pPr>
          </w:p>
        </w:tc>
        <w:tc>
          <w:tcPr>
            <w:tcW w:w="6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2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63"/>
              <w:spacing w:after="0" w:line="13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7"/>
              <w:spacing w:after="0" w:line="139"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  196.4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197.8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Percent of revenue</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23.4 %</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80" w:firstLine="319"/>
        <w:spacing w:after="0" w:line="251" w:lineRule="auto"/>
        <w:rPr>
          <w:sz w:val="20"/>
          <w:szCs w:val="20"/>
          <w:color w:val="auto"/>
        </w:rPr>
      </w:pPr>
      <w:r>
        <w:rPr>
          <w:rFonts w:ascii="Arial" w:cs="Arial" w:eastAsia="Arial" w:hAnsi="Arial"/>
          <w:sz w:val="18"/>
          <w:szCs w:val="18"/>
          <w:color w:val="auto"/>
        </w:rPr>
        <w:t>The decrease in selling, general and administrative expense in fiscal 2019 was primarily due to decreases of $2.0 million for acquisition-related costs and $1.0 million for sales commissions. The decrease in selling, general and administrative expense was offset in part by an increase of $1.8 million for personnel-related expenses, including costs associated with increased headcount and an acquisition. We expect that selling, general and administrative expense will increase in absolute dollars in the first quarter of 2020 compared to the fourth quarter of 2019.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Other, Net</w:t>
      </w:r>
    </w:p>
    <w:p>
      <w:pPr>
        <w:spacing w:after="0" w:line="224" w:lineRule="exact"/>
        <w:rPr>
          <w:sz w:val="20"/>
          <w:szCs w:val="20"/>
          <w:color w:val="auto"/>
        </w:rPr>
      </w:pPr>
    </w:p>
    <w:p>
      <w:pPr>
        <w:ind w:right="180" w:firstLine="319"/>
        <w:spacing w:after="0" w:line="256" w:lineRule="auto"/>
        <w:rPr>
          <w:sz w:val="20"/>
          <w:szCs w:val="20"/>
          <w:color w:val="auto"/>
        </w:rPr>
      </w:pPr>
      <w:r>
        <w:rPr>
          <w:rFonts w:ascii="Arial" w:cs="Arial" w:eastAsia="Arial" w:hAnsi="Arial"/>
          <w:sz w:val="18"/>
          <w:szCs w:val="18"/>
          <w:color w:val="auto"/>
        </w:rPr>
        <w:t>Interest income and other, net in fiscal 2019 was $13.2 million compared to $6.6 million in fiscal 2018. The increase in interest income and other, net in fiscal 2019 was primarily due to increased interest income earned as a result of higher market interest rates and higher investment balances.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in fiscal 2019 was relatively flat at $20.2 million compared to $19.7 million in fiscal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1"/>
              </w:rPr>
              <w:t>Fiscal Year</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39"/>
        </w:trPr>
        <w:tc>
          <w:tcPr>
            <w:tcW w:w="68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0"/>
              <w:spacing w:after="0" w:line="13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39"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8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280"/>
              <w:spacing w:after="0" w:line="206" w:lineRule="exact"/>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w w:val="89"/>
              </w:rPr>
              <w:t>(11.4)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4"/>
        </w:trPr>
        <w:tc>
          <w:tcPr>
            <w:tcW w:w="6860" w:type="dxa"/>
            <w:vAlign w:val="bottom"/>
          </w:tcPr>
          <w:p>
            <w:pPr>
              <w:spacing w:after="0"/>
              <w:rPr>
                <w:sz w:val="20"/>
                <w:szCs w:val="20"/>
                <w:color w:val="auto"/>
              </w:rPr>
            </w:pPr>
            <w:r>
              <w:rPr>
                <w:rFonts w:ascii="Arial" w:cs="Arial" w:eastAsia="Arial" w:hAnsi="Arial"/>
                <w:sz w:val="18"/>
                <w:szCs w:val="18"/>
                <w:color w:val="auto"/>
              </w:rPr>
              <w:t>Effective tax rate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61.2 %</w:t>
            </w:r>
          </w:p>
        </w:tc>
        <w:tc>
          <w:tcPr>
            <w:tcW w:w="24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220" w:firstLine="319"/>
        <w:spacing w:after="0" w:line="269" w:lineRule="auto"/>
        <w:rPr>
          <w:sz w:val="20"/>
          <w:szCs w:val="20"/>
          <w:color w:val="auto"/>
        </w:rPr>
      </w:pPr>
      <w:r>
        <w:rPr>
          <w:rFonts w:ascii="Arial" w:cs="Arial" w:eastAsia="Arial" w:hAnsi="Arial"/>
          <w:sz w:val="17"/>
          <w:szCs w:val="17"/>
          <w:color w:val="auto"/>
        </w:rPr>
        <w:t>The effective tax rate for fiscal 2019 increased from fiscal 2018 primarily due to a change in our financial statement position related to the treatment of stock-based compensation within our intercompany cost-sharing arrangement. Due to the Ninth Circuit’s reversal of the Altera Corp v. Commissioner Tax Court decision, we are no longer reflecting a net tax benefit within our financial statements related to the removal of stock-based compensation from our intercompany cost-sharing arrangement. As such, we recognized incremental, discrete income tax expense of $27.2 million in fiscal 2019 related to this change.</w:t>
      </w:r>
    </w:p>
    <w:p>
      <w:pPr>
        <w:spacing w:after="0" w:line="180" w:lineRule="exact"/>
        <w:rPr>
          <w:sz w:val="20"/>
          <w:szCs w:val="20"/>
          <w:color w:val="auto"/>
        </w:rPr>
      </w:pPr>
    </w:p>
    <w:p>
      <w:pPr>
        <w:jc w:val="both"/>
        <w:ind w:right="60" w:firstLine="319"/>
        <w:spacing w:after="0" w:line="303" w:lineRule="auto"/>
        <w:rPr>
          <w:sz w:val="20"/>
          <w:szCs w:val="20"/>
          <w:color w:val="auto"/>
        </w:rPr>
      </w:pPr>
      <w:r>
        <w:rPr>
          <w:rFonts w:ascii="Arial" w:cs="Arial" w:eastAsia="Arial" w:hAnsi="Arial"/>
          <w:sz w:val="16"/>
          <w:szCs w:val="16"/>
          <w:color w:val="auto"/>
        </w:rPr>
        <w:t>The effective tax rates for each of the periods presented differ from the U.S. federal statutory tax rates of 21% due to the aforementioned impact of the Altera decision, the amount of income earned in foreign jurisdictions where the tax rate may be higher or lower than the federal statutory tax rate, and other permanent items including research and development tax credits and GILTI, or global intangible low-tax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2018 to Fiscal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39"/>
        </w:trPr>
        <w:tc>
          <w:tcPr>
            <w:tcW w:w="6220" w:type="dxa"/>
            <w:vAlign w:val="bottom"/>
          </w:tcPr>
          <w:p>
            <w:pPr>
              <w:spacing w:after="0" w:line="139"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76"/>
              <w:spacing w:after="0" w:line="13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4"/>
              <w:spacing w:after="0" w:line="13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ind w:right="171"/>
              <w:spacing w:after="0" w:line="139" w:lineRule="exact"/>
              <w:rPr>
                <w:sz w:val="20"/>
                <w:szCs w:val="20"/>
                <w:color w:val="auto"/>
              </w:rPr>
            </w:pPr>
            <w:r>
              <w:rPr>
                <w:rFonts w:ascii="Arial" w:cs="Arial" w:eastAsia="Arial" w:hAnsi="Arial"/>
                <w:sz w:val="14"/>
                <w:szCs w:val="14"/>
                <w:b w:val="1"/>
                <w:bCs w:val="1"/>
                <w:color w:val="auto"/>
              </w:rPr>
              <w:t>Change</w:t>
            </w:r>
          </w:p>
        </w:tc>
      </w:tr>
      <w:tr>
        <w:trPr>
          <w:trHeight w:val="206"/>
        </w:trPr>
        <w:tc>
          <w:tcPr>
            <w:tcW w:w="62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Internet of Things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463.8</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395.0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68.8</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17.4</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Infrastructure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31.1 %</w:t>
            </w:r>
          </w:p>
        </w:tc>
      </w:tr>
      <w:tr>
        <w:trPr>
          <w:trHeight w:val="21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Broadcast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3"/>
        </w:trPr>
        <w:tc>
          <w:tcPr>
            <w:tcW w:w="6220" w:type="dxa"/>
            <w:vAlign w:val="bottom"/>
          </w:tcPr>
          <w:p>
            <w:pPr>
              <w:spacing w:after="0"/>
              <w:rPr>
                <w:sz w:val="20"/>
                <w:szCs w:val="20"/>
                <w:color w:val="auto"/>
              </w:rPr>
            </w:pPr>
            <w:r>
              <w:rPr>
                <w:rFonts w:ascii="Arial" w:cs="Arial" w:eastAsia="Arial" w:hAnsi="Arial"/>
                <w:sz w:val="18"/>
                <w:szCs w:val="18"/>
                <w:color w:val="auto"/>
              </w:rPr>
              <w:t>Access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06"/>
        </w:trPr>
        <w:tc>
          <w:tcPr>
            <w:tcW w:w="62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868.3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768.9</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99.4</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12.9</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revenues in fiscal 2018 was due primarily to:</w:t>
      </w:r>
    </w:p>
    <w:p>
      <w:pPr>
        <w:spacing w:after="0" w:line="218" w:lineRule="exact"/>
        <w:rPr>
          <w:sz w:val="20"/>
          <w:szCs w:val="20"/>
          <w:color w:val="auto"/>
        </w:rPr>
      </w:pPr>
    </w:p>
    <w:p>
      <w:pPr>
        <w:ind w:left="660" w:right="480" w:hanging="317"/>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revenues of $68.8 million for our IoT products, due primarily to increased demand for our wireless products and the addition of revenues from an acquisition.</w:t>
      </w:r>
    </w:p>
    <w:p>
      <w:pPr>
        <w:spacing w:after="0" w:line="72" w:lineRule="exact"/>
        <w:rPr>
          <w:rFonts w:ascii="Arial" w:cs="Arial" w:eastAsia="Arial" w:hAnsi="Arial"/>
          <w:sz w:val="18"/>
          <w:szCs w:val="18"/>
          <w:color w:val="auto"/>
        </w:rPr>
      </w:pPr>
    </w:p>
    <w:p>
      <w:pPr>
        <w:ind w:left="660" w:right="140" w:hanging="317"/>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revenues of $47.3 million for our Infrastructure products, due primarily to increased demand for our isolation and timing products.</w:t>
      </w:r>
    </w:p>
    <w:p>
      <w:pPr>
        <w:spacing w:after="0" w:line="72" w:lineRule="exact"/>
        <w:rPr>
          <w:rFonts w:ascii="Arial" w:cs="Arial" w:eastAsia="Arial" w:hAnsi="Arial"/>
          <w:sz w:val="18"/>
          <w:szCs w:val="18"/>
          <w:color w:val="auto"/>
        </w:rPr>
      </w:pPr>
    </w:p>
    <w:p>
      <w:pPr>
        <w:ind w:left="660" w:hanging="317"/>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Decreased revenues of $11.6 million for Broadcast products, due primarily to decreases in the market for our consumer products.</w:t>
      </w:r>
    </w:p>
    <w:p>
      <w:pPr>
        <w:spacing w:after="0" w:line="134" w:lineRule="exact"/>
        <w:rPr>
          <w:rFonts w:ascii="Arial" w:cs="Arial" w:eastAsia="Arial" w:hAnsi="Arial"/>
          <w:sz w:val="16"/>
          <w:szCs w:val="16"/>
          <w:color w:val="auto"/>
        </w:rPr>
      </w:pPr>
    </w:p>
    <w:p>
      <w:pPr>
        <w:ind w:left="660" w:right="720" w:hanging="317"/>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revenues of $5.1 million for our Access products, due primarily to decreased demand for our VoIP products and decreases in the market for such products.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Unit volumes of our products increased by 11.5% and average selling prices increased by 1.1% compared to fiscal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39"/>
        </w:trPr>
        <w:tc>
          <w:tcPr>
            <w:tcW w:w="6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00"/>
              <w:spacing w:after="0" w:line="139"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39"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7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521.4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454.2</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67.2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60.1 %</w:t>
            </w:r>
          </w:p>
        </w:tc>
        <w:tc>
          <w:tcPr>
            <w:tcW w:w="24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59.1 %</w:t>
            </w: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60" w:firstLine="319"/>
        <w:spacing w:after="0" w:line="269" w:lineRule="auto"/>
        <w:rPr>
          <w:sz w:val="20"/>
          <w:szCs w:val="20"/>
          <w:color w:val="auto"/>
        </w:rPr>
      </w:pPr>
      <w:r>
        <w:rPr>
          <w:rFonts w:ascii="Arial" w:cs="Arial" w:eastAsia="Arial" w:hAnsi="Arial"/>
          <w:sz w:val="17"/>
          <w:szCs w:val="17"/>
          <w:color w:val="auto"/>
        </w:rPr>
        <w:t>Gross profit increased in fiscal 2018 due primarily to increased product sales. The increased dollar amount of gross profit in fiscal 2018 was due to increases in gross profit of $42.8 million for our Internet of Things products and $34.6 million for our Infrastructure products, offset by decreases in gross profit of $8.5 million for our Broadcast products and $1.7 million for our Access products. Gross profit in fiscal 2018 included $6.1 million in acquisition-related charges for the fair value write-up associated with acquired inventory. Gross margin increased in fiscal 2018 primarily due to a higher mix of Infrastructure products sold.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39"/>
        </w:trPr>
        <w:tc>
          <w:tcPr>
            <w:tcW w:w="6200" w:type="dxa"/>
            <w:vAlign w:val="bottom"/>
          </w:tcPr>
          <w:p>
            <w:pPr>
              <w:spacing w:after="0" w:line="13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760" w:type="dxa"/>
            <w:vAlign w:val="bottom"/>
          </w:tcPr>
          <w:p>
            <w:pPr>
              <w:jc w:val="right"/>
              <w:ind w:right="163"/>
              <w:spacing w:after="0" w:line="139"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57"/>
              <w:spacing w:after="0" w:line="139"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center"/>
              <w:ind w:right="71"/>
              <w:spacing w:after="0" w:line="139" w:lineRule="exact"/>
              <w:rPr>
                <w:sz w:val="20"/>
                <w:szCs w:val="20"/>
                <w:color w:val="auto"/>
              </w:rPr>
            </w:pPr>
            <w:r>
              <w:rPr>
                <w:rFonts w:ascii="Arial" w:cs="Arial" w:eastAsia="Arial" w:hAnsi="Arial"/>
                <w:sz w:val="14"/>
                <w:szCs w:val="14"/>
                <w:b w:val="1"/>
                <w:bCs w:val="1"/>
                <w:color w:val="auto"/>
                <w:w w:val="89"/>
              </w:rPr>
              <w:t>Change</w:t>
            </w:r>
          </w:p>
        </w:tc>
      </w:tr>
      <w:tr>
        <w:trPr>
          <w:trHeight w:val="206"/>
        </w:trPr>
        <w:tc>
          <w:tcPr>
            <w:tcW w:w="6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Research and development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  238.3</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209.5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28.8</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13.8</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Percent of revenue</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27.5 %</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89" w:lineRule="exact"/>
        <w:rPr>
          <w:sz w:val="20"/>
          <w:szCs w:val="20"/>
          <w:color w:val="auto"/>
        </w:rPr>
      </w:pPr>
    </w:p>
    <w:p>
      <w:pPr>
        <w:ind w:right="180" w:firstLine="319"/>
        <w:spacing w:after="0" w:line="410" w:lineRule="auto"/>
        <w:rPr>
          <w:sz w:val="20"/>
          <w:szCs w:val="20"/>
          <w:color w:val="auto"/>
        </w:rPr>
      </w:pPr>
      <w:r>
        <w:rPr>
          <w:rFonts w:ascii="Arial" w:cs="Arial" w:eastAsia="Arial" w:hAnsi="Arial"/>
          <w:sz w:val="14"/>
          <w:szCs w:val="14"/>
          <w:color w:val="auto"/>
        </w:rPr>
        <w:t>The increase in research and development expense in fiscal 2018 was primarily due to increases of $16.5 million for personnel-related expenses, including costs associated with increased headcount and an acquisition, and $7.2 million for the amortization of intangible assets.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7"/>
              </w:rPr>
              <w:t>Fiscal Year</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8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39"/>
        </w:trPr>
        <w:tc>
          <w:tcPr>
            <w:tcW w:w="6200" w:type="dxa"/>
            <w:vAlign w:val="bottom"/>
          </w:tcPr>
          <w:p>
            <w:pPr>
              <w:spacing w:after="0" w:line="139"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760" w:type="dxa"/>
            <w:vAlign w:val="bottom"/>
          </w:tcPr>
          <w:p>
            <w:pPr>
              <w:jc w:val="right"/>
              <w:ind w:right="163"/>
              <w:spacing w:after="0" w:line="13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3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center"/>
              <w:ind w:right="71"/>
              <w:spacing w:after="0" w:line="139" w:lineRule="exact"/>
              <w:rPr>
                <w:sz w:val="20"/>
                <w:szCs w:val="20"/>
                <w:color w:val="auto"/>
              </w:rPr>
            </w:pPr>
            <w:r>
              <w:rPr>
                <w:rFonts w:ascii="Arial" w:cs="Arial" w:eastAsia="Arial" w:hAnsi="Arial"/>
                <w:sz w:val="14"/>
                <w:szCs w:val="14"/>
                <w:b w:val="1"/>
                <w:bCs w:val="1"/>
                <w:color w:val="auto"/>
                <w:w w:val="89"/>
              </w:rPr>
              <w:t>Change</w:t>
            </w:r>
          </w:p>
        </w:tc>
      </w:tr>
      <w:tr>
        <w:trPr>
          <w:trHeight w:val="206"/>
        </w:trPr>
        <w:tc>
          <w:tcPr>
            <w:tcW w:w="6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  197.8</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84"/>
              </w:rPr>
              <w:t>159.7</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38.1</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23.9</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Percent of revenue</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22.8 %</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89" w:lineRule="exact"/>
        <w:rPr>
          <w:sz w:val="20"/>
          <w:szCs w:val="20"/>
          <w:color w:val="auto"/>
        </w:rPr>
      </w:pPr>
    </w:p>
    <w:p>
      <w:pPr>
        <w:ind w:right="140" w:firstLine="319"/>
        <w:spacing w:after="0" w:line="256" w:lineRule="auto"/>
        <w:rPr>
          <w:sz w:val="20"/>
          <w:szCs w:val="20"/>
          <w:color w:val="auto"/>
        </w:rPr>
      </w:pPr>
      <w:r>
        <w:rPr>
          <w:rFonts w:ascii="Arial" w:cs="Arial" w:eastAsia="Arial" w:hAnsi="Arial"/>
          <w:sz w:val="18"/>
          <w:szCs w:val="18"/>
          <w:color w:val="auto"/>
        </w:rPr>
        <w:t>The increase in selling, general and administrative expense in fiscal 2018 was primarily due to increases of $23.6 million for personnel-related expenses, including costs associated with increased headcount and an acquisition, $3.6 million for the amortization of intangible assets and $3.4 million for acquisition-related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Other, Net</w:t>
      </w:r>
    </w:p>
    <w:p>
      <w:pPr>
        <w:spacing w:after="0" w:line="224" w:lineRule="exact"/>
        <w:rPr>
          <w:sz w:val="20"/>
          <w:szCs w:val="20"/>
          <w:color w:val="auto"/>
        </w:rPr>
      </w:pPr>
    </w:p>
    <w:p>
      <w:pPr>
        <w:ind w:right="280" w:firstLine="319"/>
        <w:spacing w:after="0" w:line="303" w:lineRule="auto"/>
        <w:rPr>
          <w:sz w:val="20"/>
          <w:szCs w:val="20"/>
          <w:color w:val="auto"/>
        </w:rPr>
      </w:pPr>
      <w:r>
        <w:rPr>
          <w:rFonts w:ascii="Arial" w:cs="Arial" w:eastAsia="Arial" w:hAnsi="Arial"/>
          <w:sz w:val="16"/>
          <w:szCs w:val="16"/>
          <w:color w:val="auto"/>
        </w:rPr>
        <w:t>Interest income and other, net in fiscal 2018 was $6.6 million compared to $6.1 million in fiscal 2017. The increase in interest income and other, net in fiscal 2018 was primarily due to increased interest income earned as a result of higher market interest rates and higher investment balances, offset by a net loss of $1.8 million recorded in connection with fair value adjustments to an equity investment.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4" w:lineRule="exact"/>
        <w:rPr>
          <w:sz w:val="20"/>
          <w:szCs w:val="20"/>
          <w:color w:val="auto"/>
        </w:rPr>
      </w:pPr>
    </w:p>
    <w:p>
      <w:pPr>
        <w:ind w:right="100" w:firstLine="319"/>
        <w:spacing w:after="0" w:line="251" w:lineRule="auto"/>
        <w:rPr>
          <w:sz w:val="20"/>
          <w:szCs w:val="20"/>
          <w:color w:val="auto"/>
        </w:rPr>
      </w:pPr>
      <w:r>
        <w:rPr>
          <w:rFonts w:ascii="Arial" w:cs="Arial" w:eastAsia="Arial" w:hAnsi="Arial"/>
          <w:sz w:val="18"/>
          <w:szCs w:val="18"/>
          <w:color w:val="auto"/>
        </w:rPr>
        <w:t>Interest expense in fiscal 2018 was $19.7 million compared to $14.1 million in fiscal 2017. The increase in interest expense in fiscal 2018 was primarily due to increased interest expense of $3.8 million on our convertible debt, including amortization of the debt discount and debt issuance costs, as a result of recording a full year of interest expense in fiscal 2018 versus a partial year in fiscal 2017. In addition, interest expense in fiscal 2017 was lower than fiscal 2018 due to a $2.0 million gain recorded in fiscal 2017 in connection with the termination of our interest rate swap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1"/>
              </w:rPr>
              <w:t>Fiscal Year</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39"/>
        </w:trPr>
        <w:tc>
          <w:tcPr>
            <w:tcW w:w="3760" w:type="dxa"/>
            <w:vAlign w:val="bottom"/>
            <w:tcBorders>
              <w:bottom w:val="single" w:sz="8" w:color="auto"/>
            </w:tcBorders>
            <w:vMerge w:val="continue"/>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0"/>
              <w:spacing w:after="0" w:line="13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7"/>
              <w:spacing w:after="0" w:line="139"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Provision (benefit) for income taxes</w:t>
            </w:r>
          </w:p>
        </w:tc>
        <w:tc>
          <w:tcPr>
            <w:tcW w:w="3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ind w:left="240"/>
              <w:spacing w:after="0" w:line="206" w:lineRule="exact"/>
              <w:rPr>
                <w:sz w:val="20"/>
                <w:szCs w:val="20"/>
                <w:color w:val="auto"/>
              </w:rPr>
            </w:pPr>
            <w:r>
              <w:rPr>
                <w:rFonts w:ascii="Arial" w:cs="Arial" w:eastAsia="Arial" w:hAnsi="Arial"/>
                <w:sz w:val="18"/>
                <w:szCs w:val="18"/>
                <w:color w:val="auto"/>
                <w:w w:val="84"/>
              </w:rPr>
              <w:t>(11.4)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Effective tax rate</w:t>
            </w:r>
          </w:p>
        </w:tc>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38.8 %</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8"/>
        </w:trPr>
        <w:tc>
          <w:tcPr>
            <w:tcW w:w="3760" w:type="dxa"/>
            <w:vAlign w:val="bottom"/>
          </w:tcPr>
          <w:p>
            <w:pPr>
              <w:spacing w:after="0"/>
              <w:rPr>
                <w:sz w:val="24"/>
                <w:szCs w:val="24"/>
                <w:color w:val="auto"/>
              </w:rPr>
            </w:pPr>
          </w:p>
        </w:tc>
        <w:tc>
          <w:tcPr>
            <w:tcW w:w="3100" w:type="dxa"/>
            <w:vAlign w:val="bottom"/>
          </w:tcPr>
          <w:p>
            <w:pPr>
              <w:jc w:val="right"/>
              <w:ind w:right="1651"/>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7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513" w:right="8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140" w:firstLine="319"/>
        <w:spacing w:after="0" w:line="256" w:lineRule="auto"/>
        <w:rPr>
          <w:sz w:val="20"/>
          <w:szCs w:val="20"/>
          <w:color w:val="auto"/>
        </w:rPr>
      </w:pPr>
      <w:r>
        <w:rPr>
          <w:rFonts w:ascii="Arial" w:cs="Arial" w:eastAsia="Arial" w:hAnsi="Arial"/>
          <w:sz w:val="18"/>
          <w:szCs w:val="18"/>
          <w:color w:val="auto"/>
        </w:rPr>
        <w:t>The effective tax rate for fiscal 2018 decreased from fiscal 2017 primarily due to a reduction in the U.S. federal statutory rate as well as the inclusion of one-time tax impacts recorded in 2017 from the enactment of the Tax Cuts and Jobs Act. This overall decrease in the effective tax rate was offset by a decrease in the Company’s foreign tax rate benefit.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represents our business outlook for the first quarter of fiscal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gridSpan w:val="3"/>
          </w:tcPr>
          <w:p>
            <w:pPr>
              <w:ind w:left="1000"/>
              <w:spacing w:after="0"/>
              <w:rPr>
                <w:sz w:val="20"/>
                <w:szCs w:val="20"/>
                <w:color w:val="auto"/>
              </w:rPr>
            </w:pPr>
            <w:r>
              <w:rPr>
                <w:rFonts w:ascii="Arial" w:cs="Arial" w:eastAsia="Arial" w:hAnsi="Arial"/>
                <w:sz w:val="14"/>
                <w:szCs w:val="14"/>
                <w:b w:val="1"/>
                <w:bCs w:val="1"/>
                <w:color w:val="auto"/>
              </w:rPr>
              <w:t>Income Statement Item</w:t>
            </w:r>
          </w:p>
        </w:tc>
        <w:tc>
          <w:tcPr>
            <w:tcW w:w="3080" w:type="dxa"/>
            <w:vAlign w:val="bottom"/>
            <w:gridSpan w:val="2"/>
          </w:tcPr>
          <w:p>
            <w:pPr>
              <w:ind w:left="1200"/>
              <w:spacing w:after="0"/>
              <w:rPr>
                <w:sz w:val="20"/>
                <w:szCs w:val="20"/>
                <w:color w:val="auto"/>
              </w:rPr>
            </w:pPr>
            <w:r>
              <w:rPr>
                <w:rFonts w:ascii="Arial" w:cs="Arial" w:eastAsia="Arial" w:hAnsi="Arial"/>
                <w:sz w:val="14"/>
                <w:szCs w:val="14"/>
                <w:b w:val="1"/>
                <w:bCs w:val="1"/>
                <w:color w:val="auto"/>
              </w:rPr>
              <w:t>Estimate</w:t>
            </w:r>
          </w:p>
        </w:tc>
      </w:tr>
      <w:tr>
        <w:trPr>
          <w:trHeight w:val="206"/>
        </w:trPr>
        <w:tc>
          <w:tcPr>
            <w:tcW w:w="1020" w:type="dxa"/>
            <w:vAlign w:val="bottom"/>
          </w:tcPr>
          <w:p>
            <w:pPr>
              <w:spacing w:after="0"/>
              <w:rPr>
                <w:sz w:val="17"/>
                <w:szCs w:val="17"/>
                <w:color w:val="auto"/>
              </w:rPr>
            </w:pPr>
          </w:p>
        </w:tc>
        <w:tc>
          <w:tcPr>
            <w:tcW w:w="48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Revenues</w:t>
            </w:r>
          </w:p>
        </w:tc>
        <w:tc>
          <w:tcPr>
            <w:tcW w:w="14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4"/>
              </w:rPr>
              <w:t>$209 million to $219 million</w:t>
            </w:r>
          </w:p>
        </w:tc>
        <w:tc>
          <w:tcPr>
            <w:tcW w:w="140" w:type="dxa"/>
            <w:vAlign w:val="bottom"/>
            <w:tcBorders>
              <w:top w:val="single" w:sz="8" w:color="CCEEFF"/>
            </w:tcBorders>
            <w:shd w:val="clear" w:color="auto" w:fill="CCEEFF"/>
          </w:tcPr>
          <w:p>
            <w:pPr>
              <w:spacing w:after="0"/>
              <w:rPr>
                <w:sz w:val="17"/>
                <w:szCs w:val="17"/>
                <w:color w:val="auto"/>
              </w:rPr>
            </w:pPr>
          </w:p>
        </w:tc>
      </w:tr>
      <w:tr>
        <w:trPr>
          <w:trHeight w:val="213"/>
        </w:trPr>
        <w:tc>
          <w:tcPr>
            <w:tcW w:w="10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940" w:type="dxa"/>
            <w:vAlign w:val="bottom"/>
          </w:tcPr>
          <w:p>
            <w:pPr>
              <w:jc w:val="right"/>
              <w:ind w:right="1114"/>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$127 million</w:t>
            </w:r>
          </w:p>
        </w:tc>
      </w:tr>
      <w:tr>
        <w:trPr>
          <w:trHeight w:val="213"/>
        </w:trPr>
        <w:tc>
          <w:tcPr>
            <w:tcW w:w="10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940" w:type="dxa"/>
            <w:vAlign w:val="bottom"/>
          </w:tcPr>
          <w:p>
            <w:pPr>
              <w:jc w:val="right"/>
              <w:ind w:right="1154"/>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0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$(0.03) to $0.07</w:t>
            </w:r>
          </w:p>
        </w:tc>
      </w:tr>
      <w:tr>
        <w:trPr>
          <w:trHeight w:val="424"/>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1" w:lineRule="exact"/>
        <w:rPr>
          <w:sz w:val="20"/>
          <w:szCs w:val="20"/>
          <w:color w:val="auto"/>
        </w:rPr>
      </w:pPr>
    </w:p>
    <w:p>
      <w:pPr>
        <w:ind w:firstLine="319"/>
        <w:spacing w:after="0" w:line="290" w:lineRule="auto"/>
        <w:rPr>
          <w:sz w:val="20"/>
          <w:szCs w:val="20"/>
          <w:color w:val="auto"/>
        </w:rPr>
      </w:pPr>
      <w:r>
        <w:rPr>
          <w:rFonts w:ascii="Arial" w:cs="Arial" w:eastAsia="Arial" w:hAnsi="Arial"/>
          <w:sz w:val="16"/>
          <w:szCs w:val="16"/>
          <w:color w:val="auto"/>
        </w:rPr>
        <w:t>Our principal sources of liquidity as of December 28, 2019 consisted of $726.0 million in cash, cash equivalents and short-term investments, of which approximately $583.8 million was held by our U.S. entities. The remaining balance was held by our foreign subsidiaries. Our cash equivalents and short-term investments consisted of government debt securities, which include agency bonds, municipal bonds, U.S. government securities and variable-rate demand notes; corporate debt securities, which include asset-backed securities, corporate bonds and commercial paper; and money market funds. Our long-term investments consisted of auction-rate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8" w:lineRule="exact"/>
        <w:rPr>
          <w:sz w:val="20"/>
          <w:szCs w:val="20"/>
          <w:color w:val="auto"/>
        </w:rPr>
      </w:pPr>
    </w:p>
    <w:p>
      <w:pPr>
        <w:ind w:right="40" w:firstLine="319"/>
        <w:spacing w:after="0" w:line="253" w:lineRule="auto"/>
        <w:rPr>
          <w:sz w:val="20"/>
          <w:szCs w:val="20"/>
          <w:color w:val="auto"/>
        </w:rPr>
      </w:pPr>
      <w:r>
        <w:rPr>
          <w:rFonts w:ascii="Arial" w:cs="Arial" w:eastAsia="Arial" w:hAnsi="Arial"/>
          <w:sz w:val="18"/>
          <w:szCs w:val="18"/>
          <w:color w:val="auto"/>
        </w:rPr>
        <w:t>Net cash provided by operating activities was $166.5 million during fiscal 2019, compared to net cash provided of $173.5 million during fiscal 2018. Operating cash flows during fiscal 2019 reflect our net income of $19.3 million, adjustments of $147.8 million for depreciation, amortization, stock-based compensation and deferred income taxes, and a net cash outflow of $0.6 million due to changes in our operating assets and liabilities.</w:t>
      </w:r>
    </w:p>
    <w:p>
      <w:pPr>
        <w:spacing w:after="0" w:line="190" w:lineRule="exact"/>
        <w:rPr>
          <w:sz w:val="20"/>
          <w:szCs w:val="20"/>
          <w:color w:val="auto"/>
        </w:rPr>
      </w:pPr>
    </w:p>
    <w:p>
      <w:pPr>
        <w:ind w:right="40" w:firstLine="319"/>
        <w:spacing w:after="0" w:line="253" w:lineRule="auto"/>
        <w:rPr>
          <w:sz w:val="20"/>
          <w:szCs w:val="20"/>
          <w:color w:val="auto"/>
        </w:rPr>
      </w:pPr>
      <w:r>
        <w:rPr>
          <w:rFonts w:ascii="Arial" w:cs="Arial" w:eastAsia="Arial" w:hAnsi="Arial"/>
          <w:sz w:val="18"/>
          <w:szCs w:val="18"/>
          <w:color w:val="auto"/>
        </w:rPr>
        <w:t>Net cash provided by operating activities was $173.5 million during fiscal 2018, compared to net cash provided of $189.5 million during fiscal 2017. Operating cash flows during fiscal 2018 reflect our net income of $83.6 million, adjustments of $114.7 million for depreciation, amortization, stock-based compensation and deferred income taxes, and a net cash outflow of $24.8 million due to changes in our operating assets and liabilities.</w:t>
      </w:r>
    </w:p>
    <w:p>
      <w:pPr>
        <w:spacing w:after="0" w:line="190" w:lineRule="exact"/>
        <w:rPr>
          <w:sz w:val="20"/>
          <w:szCs w:val="20"/>
          <w:color w:val="auto"/>
        </w:rPr>
      </w:pPr>
    </w:p>
    <w:p>
      <w:pPr>
        <w:ind w:right="420" w:firstLine="319"/>
        <w:spacing w:after="0" w:line="256" w:lineRule="auto"/>
        <w:rPr>
          <w:sz w:val="20"/>
          <w:szCs w:val="20"/>
          <w:color w:val="auto"/>
        </w:rPr>
      </w:pPr>
      <w:r>
        <w:rPr>
          <w:rFonts w:ascii="Arial" w:cs="Arial" w:eastAsia="Arial" w:hAnsi="Arial"/>
          <w:sz w:val="18"/>
          <w:szCs w:val="18"/>
          <w:color w:val="auto"/>
        </w:rPr>
        <w:t>Accounts receivable increased to $75.6 million at December 28, 2019 from $73.2 million at December 29, 2018. The increase in accounts receivable resulted primarily from normal variations in the timing of collections and billings. Our average DSO was 31 days at December 28, 2019 and December 29, 2018.</w:t>
      </w:r>
    </w:p>
    <w:p>
      <w:pPr>
        <w:spacing w:after="0" w:line="188" w:lineRule="exact"/>
        <w:rPr>
          <w:sz w:val="20"/>
          <w:szCs w:val="20"/>
          <w:color w:val="auto"/>
        </w:rPr>
      </w:pPr>
    </w:p>
    <w:p>
      <w:pPr>
        <w:jc w:val="both"/>
        <w:ind w:right="180" w:firstLine="319"/>
        <w:spacing w:after="0" w:line="256" w:lineRule="auto"/>
        <w:rPr>
          <w:sz w:val="20"/>
          <w:szCs w:val="20"/>
          <w:color w:val="auto"/>
        </w:rPr>
      </w:pPr>
      <w:r>
        <w:rPr>
          <w:rFonts w:ascii="Arial" w:cs="Arial" w:eastAsia="Arial" w:hAnsi="Arial"/>
          <w:sz w:val="18"/>
          <w:szCs w:val="18"/>
          <w:color w:val="auto"/>
        </w:rPr>
        <w:t>Inventory decreased to $73.1 million at December 28, 2019 from $75.0 million at December 29, 2018. Our inventory level is primarily impacted by our need to make purchase commitments to support forecasted demand and variations between forecasted and actual demand. Our DOI was 76 days at December 28, 2019 and 79 days at December 29,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8" w:lineRule="exact"/>
        <w:rPr>
          <w:sz w:val="20"/>
          <w:szCs w:val="20"/>
          <w:color w:val="auto"/>
        </w:rPr>
      </w:pPr>
    </w:p>
    <w:p>
      <w:pPr>
        <w:jc w:val="both"/>
        <w:ind w:right="280" w:firstLine="319"/>
        <w:spacing w:after="0" w:line="278" w:lineRule="auto"/>
        <w:rPr>
          <w:sz w:val="20"/>
          <w:szCs w:val="20"/>
          <w:color w:val="auto"/>
        </w:rPr>
      </w:pPr>
      <w:r>
        <w:rPr>
          <w:rFonts w:ascii="Arial" w:cs="Arial" w:eastAsia="Arial" w:hAnsi="Arial"/>
          <w:sz w:val="17"/>
          <w:szCs w:val="17"/>
          <w:color w:val="auto"/>
        </w:rPr>
        <w:t>Net cash used in investing activities was $106.8 million during fiscal 2019, compared to net cash used of $197.0 million during fiscal 2018. The decrease in cash outflows was principally due to a decrease of $237.2 million in net payments for the acquisition of businesses, offset by a decrease of $157.8 million in net purchases and sales of marketable securities in the current period.</w:t>
      </w:r>
    </w:p>
    <w:p>
      <w:pPr>
        <w:spacing w:after="0" w:line="171" w:lineRule="exact"/>
        <w:rPr>
          <w:sz w:val="20"/>
          <w:szCs w:val="20"/>
          <w:color w:val="auto"/>
        </w:rPr>
      </w:pPr>
    </w:p>
    <w:p>
      <w:pPr>
        <w:ind w:right="100" w:firstLine="319"/>
        <w:spacing w:after="0" w:line="256" w:lineRule="auto"/>
        <w:rPr>
          <w:sz w:val="20"/>
          <w:szCs w:val="20"/>
          <w:color w:val="auto"/>
        </w:rPr>
      </w:pPr>
      <w:r>
        <w:rPr>
          <w:rFonts w:ascii="Arial" w:cs="Arial" w:eastAsia="Arial" w:hAnsi="Arial"/>
          <w:sz w:val="18"/>
          <w:szCs w:val="18"/>
          <w:color w:val="auto"/>
        </w:rPr>
        <w:t>Net cash used in investing activities was $197.0 million during fiscal 2018, compared to net cash used of $374.3 million during fiscal 2017. The decrease in cash outflows was principally due to an increase of $420.1 million in net purchases and sales of marketable securities, offset by an increase of $224.6 million in net payments for the acquisition of businesses.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35" w:name="page36"/>
    <w:bookmarkEnd w:id="35"/>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3" w:right="200" w:firstLine="319"/>
        <w:spacing w:after="0" w:line="278" w:lineRule="auto"/>
        <w:rPr>
          <w:sz w:val="20"/>
          <w:szCs w:val="20"/>
          <w:color w:val="auto"/>
        </w:rPr>
      </w:pPr>
      <w:r>
        <w:rPr>
          <w:rFonts w:ascii="Arial" w:cs="Arial" w:eastAsia="Arial" w:hAnsi="Arial"/>
          <w:sz w:val="17"/>
          <w:szCs w:val="17"/>
          <w:color w:val="auto"/>
        </w:rPr>
        <w:t>We anticipate capital expenditures of approximately $23 to $27 million for fiscal 2020. Additionally, as part of our growth strategy, we expect to evaluate opportunities to invest in or acquire other businesses, intellectual property or technologies that would complement or expand our current offerings, expand the breadth of our markets or enhance our technical capabilities.</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Financing Activities</w:t>
      </w:r>
    </w:p>
    <w:p>
      <w:pPr>
        <w:spacing w:after="0" w:line="218" w:lineRule="exact"/>
        <w:rPr>
          <w:sz w:val="20"/>
          <w:szCs w:val="20"/>
          <w:color w:val="auto"/>
        </w:rPr>
      </w:pPr>
    </w:p>
    <w:p>
      <w:pPr>
        <w:ind w:left="323"/>
        <w:spacing w:after="0"/>
        <w:rPr>
          <w:sz w:val="20"/>
          <w:szCs w:val="20"/>
          <w:color w:val="auto"/>
        </w:rPr>
      </w:pPr>
      <w:r>
        <w:rPr>
          <w:rFonts w:ascii="Arial" w:cs="Arial" w:eastAsia="Arial" w:hAnsi="Arial"/>
          <w:sz w:val="16"/>
          <w:szCs w:val="16"/>
          <w:color w:val="auto"/>
        </w:rPr>
        <w:t>Net cash used in financing activities was $29.6 million during fiscal 2019, compared to cash used of $48.8 million during fiscal 2018.</w:t>
      </w:r>
    </w:p>
    <w:p>
      <w:pPr>
        <w:spacing w:after="0" w:line="40"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decrease in cash outflows was principally due to a decrease of $12.6 million for repurchases of our common stock during fiscal 2019.</w:t>
      </w:r>
    </w:p>
    <w:p>
      <w:pPr>
        <w:spacing w:after="0" w:line="29" w:lineRule="exact"/>
        <w:rPr>
          <w:sz w:val="20"/>
          <w:szCs w:val="20"/>
          <w:color w:val="auto"/>
        </w:rPr>
      </w:pPr>
    </w:p>
    <w:p>
      <w:pPr>
        <w:ind w:left="3"/>
        <w:spacing w:after="0"/>
        <w:rPr>
          <w:sz w:val="20"/>
          <w:szCs w:val="20"/>
          <w:color w:val="auto"/>
        </w:rPr>
      </w:pPr>
      <w:r>
        <w:rPr>
          <w:rFonts w:ascii="Arial" w:cs="Arial" w:eastAsia="Arial" w:hAnsi="Arial"/>
          <w:sz w:val="17"/>
          <w:szCs w:val="17"/>
          <w:color w:val="auto"/>
        </w:rPr>
        <w:t>Our existing share repurchase program has an authorization amount of $200 million and a termination date of December 2020.</w:t>
      </w:r>
    </w:p>
    <w:p>
      <w:pPr>
        <w:spacing w:after="0" w:line="219" w:lineRule="exact"/>
        <w:rPr>
          <w:sz w:val="20"/>
          <w:szCs w:val="20"/>
          <w:color w:val="auto"/>
        </w:rPr>
      </w:pPr>
    </w:p>
    <w:p>
      <w:pPr>
        <w:ind w:left="3" w:right="80" w:firstLine="319"/>
        <w:spacing w:after="0" w:line="253" w:lineRule="auto"/>
        <w:rPr>
          <w:sz w:val="20"/>
          <w:szCs w:val="20"/>
          <w:color w:val="auto"/>
        </w:rPr>
      </w:pPr>
      <w:r>
        <w:rPr>
          <w:rFonts w:ascii="Arial" w:cs="Arial" w:eastAsia="Arial" w:hAnsi="Arial"/>
          <w:sz w:val="18"/>
          <w:szCs w:val="18"/>
          <w:color w:val="auto"/>
        </w:rPr>
        <w:t>Net cash used in financing activities was $48.8 million during fiscal 2018, compared to net cash provided of $313.0 million during fiscal 2017. The decrease in cash inflows was principally due to $389.5 million in net proceeds from the issuance of long-term debt during fiscal 2017 and an increase of $39.3 million for repurchases of our common stock during fiscal 2018, offset by a decrease of $72.5 million in payments on debt.</w:t>
      </w:r>
    </w:p>
    <w:p>
      <w:pPr>
        <w:spacing w:after="0" w:line="190" w:lineRule="exact"/>
        <w:rPr>
          <w:sz w:val="20"/>
          <w:szCs w:val="20"/>
          <w:color w:val="auto"/>
        </w:rPr>
      </w:pPr>
    </w:p>
    <w:p>
      <w:pPr>
        <w:ind w:left="3" w:right="20" w:firstLine="319"/>
        <w:spacing w:after="0" w:line="290" w:lineRule="auto"/>
        <w:rPr>
          <w:sz w:val="20"/>
          <w:szCs w:val="20"/>
          <w:color w:val="auto"/>
        </w:rPr>
      </w:pPr>
      <w:r>
        <w:rPr>
          <w:rFonts w:ascii="Arial" w:cs="Arial" w:eastAsia="Arial" w:hAnsi="Arial"/>
          <w:sz w:val="16"/>
          <w:szCs w:val="16"/>
          <w:color w:val="auto"/>
        </w:rPr>
        <w:t xml:space="preserve">Our debt facilities include $400 million principal amount convertible senior notes (the “Notes”) and a $400 million revolving credit facility. The Notes bear interest semi-annually at a rate of 1.375% per year and will mature on March 1, 2022, unless repurchased, redeemed or converted at an earlier date. We have an option to increase the size of the borrowing capacity of the revolving credit facility by up to the greater of an aggregate of $250 million and 100% of EBITDA, plus an amount that would not cause a secured leverage ratio to exceed 3.25 to 1.00, subject to certain conditions. See Note 10, </w:t>
      </w:r>
      <w:r>
        <w:rPr>
          <w:rFonts w:ascii="Arial" w:cs="Arial" w:eastAsia="Arial" w:hAnsi="Arial"/>
          <w:sz w:val="16"/>
          <w:szCs w:val="16"/>
          <w:i w:val="1"/>
          <w:iCs w:val="1"/>
          <w:color w:val="auto"/>
        </w:rPr>
        <w:t>Debt</w:t>
      </w:r>
      <w:r>
        <w:rPr>
          <w:rFonts w:ascii="Arial" w:cs="Arial" w:eastAsia="Arial" w:hAnsi="Arial"/>
          <w:sz w:val="16"/>
          <w:szCs w:val="16"/>
          <w:color w:val="auto"/>
        </w:rPr>
        <w:t>, to the Consolidated Financial Statements for additional information.</w:t>
      </w:r>
    </w:p>
    <w:p>
      <w:pPr>
        <w:spacing w:after="0" w:line="164" w:lineRule="exact"/>
        <w:rPr>
          <w:sz w:val="20"/>
          <w:szCs w:val="20"/>
          <w:color w:val="auto"/>
        </w:rPr>
      </w:pPr>
    </w:p>
    <w:p>
      <w:pPr>
        <w:ind w:left="3" w:right="100" w:firstLine="319"/>
        <w:spacing w:after="0" w:line="250" w:lineRule="auto"/>
        <w:rPr>
          <w:sz w:val="20"/>
          <w:szCs w:val="20"/>
          <w:color w:val="auto"/>
        </w:rPr>
      </w:pPr>
      <w:r>
        <w:rPr>
          <w:rFonts w:ascii="Arial" w:cs="Arial" w:eastAsia="Arial" w:hAnsi="Arial"/>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and credit under our Credit Facility are sufficient to meet our capital requirements through at least the next 12 months, although we could be required, or could elect, to seek additional funding prior to that time. We may enter into acquisitions or strategic arrangements in the future which also could require us to seek additional equity or debt financing.</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Contractual Obligations</w:t>
      </w:r>
    </w:p>
    <w:p>
      <w:pPr>
        <w:spacing w:after="0" w:line="224" w:lineRule="exact"/>
        <w:rPr>
          <w:sz w:val="20"/>
          <w:szCs w:val="20"/>
          <w:color w:val="auto"/>
        </w:rPr>
      </w:pPr>
    </w:p>
    <w:p>
      <w:pPr>
        <w:ind w:left="323"/>
        <w:spacing w:after="0"/>
        <w:rPr>
          <w:sz w:val="20"/>
          <w:szCs w:val="20"/>
          <w:color w:val="auto"/>
        </w:rPr>
      </w:pPr>
      <w:r>
        <w:rPr>
          <w:rFonts w:ascii="Arial" w:cs="Arial" w:eastAsia="Arial" w:hAnsi="Arial"/>
          <w:sz w:val="18"/>
          <w:szCs w:val="18"/>
          <w:color w:val="auto"/>
        </w:rPr>
        <w:t>The following table summarizes our contractual obligations as of December 28, 2019 (in thousands):</w:t>
      </w:r>
    </w:p>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39"/>
        </w:trPr>
        <w:tc>
          <w:tcPr>
            <w:tcW w:w="25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39"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39"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39"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39" w:lineRule="exact"/>
              <w:rPr>
                <w:sz w:val="20"/>
                <w:szCs w:val="20"/>
                <w:color w:val="auto"/>
              </w:rPr>
            </w:pPr>
            <w:r>
              <w:rPr>
                <w:rFonts w:ascii="Arial" w:cs="Arial" w:eastAsia="Arial" w:hAnsi="Arial"/>
                <w:sz w:val="14"/>
                <w:szCs w:val="14"/>
                <w:b w:val="1"/>
                <w:bCs w:val="1"/>
                <w:color w:val="auto"/>
                <w:w w:val="96"/>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39" w:lineRule="exact"/>
              <w:rPr>
                <w:sz w:val="20"/>
                <w:szCs w:val="20"/>
                <w:color w:val="auto"/>
              </w:rPr>
            </w:pPr>
            <w:r>
              <w:rPr>
                <w:rFonts w:ascii="Arial" w:cs="Arial" w:eastAsia="Arial" w:hAnsi="Arial"/>
                <w:sz w:val="14"/>
                <w:szCs w:val="14"/>
                <w:b w:val="1"/>
                <w:bCs w:val="1"/>
                <w:color w:val="auto"/>
                <w:w w:val="96"/>
              </w:rPr>
              <w:t>2024</w:t>
            </w:r>
          </w:p>
        </w:tc>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ind w:left="20"/>
              <w:spacing w:after="0" w:line="139" w:lineRule="exact"/>
              <w:rPr>
                <w:sz w:val="20"/>
                <w:szCs w:val="20"/>
                <w:color w:val="auto"/>
              </w:rPr>
            </w:pPr>
            <w:r>
              <w:rPr>
                <w:rFonts w:ascii="Arial" w:cs="Arial" w:eastAsia="Arial" w:hAnsi="Arial"/>
                <w:sz w:val="14"/>
                <w:szCs w:val="14"/>
                <w:b w:val="1"/>
                <w:bCs w:val="1"/>
                <w:color w:val="auto"/>
                <w:w w:val="96"/>
              </w:rPr>
              <w:t>Thereafter</w:t>
            </w:r>
          </w:p>
        </w:tc>
      </w:tr>
      <w:tr>
        <w:trPr>
          <w:trHeight w:val="206"/>
        </w:trPr>
        <w:tc>
          <w:tcPr>
            <w:tcW w:w="36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obligations (1)</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400,000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400,000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r>
      <w:tr>
        <w:trPr>
          <w:trHeight w:val="213"/>
        </w:trPr>
        <w:tc>
          <w:tcPr>
            <w:tcW w:w="3640" w:type="dxa"/>
            <w:vAlign w:val="bottom"/>
            <w:gridSpan w:val="2"/>
          </w:tcPr>
          <w:p>
            <w:pPr>
              <w:spacing w:after="0" w:line="207" w:lineRule="exact"/>
              <w:rPr>
                <w:sz w:val="20"/>
                <w:szCs w:val="20"/>
                <w:color w:val="auto"/>
              </w:rPr>
            </w:pPr>
            <w:r>
              <w:rPr>
                <w:rFonts w:ascii="Arial" w:cs="Arial" w:eastAsia="Arial" w:hAnsi="Arial"/>
                <w:sz w:val="18"/>
                <w:szCs w:val="18"/>
                <w:color w:val="auto"/>
              </w:rPr>
              <w:t>Interest on long</w:t>
            </w:r>
            <w:r>
              <w:rPr>
                <w:rFonts w:ascii="MS PGothic" w:cs="MS PGothic" w:eastAsia="MS PGothic" w:hAnsi="MS PGothic"/>
                <w:sz w:val="18"/>
                <w:szCs w:val="18"/>
                <w:color w:val="auto"/>
              </w:rPr>
              <w:t>‑</w:t>
            </w:r>
            <w:r>
              <w:rPr>
                <w:rFonts w:ascii="Arial" w:cs="Arial" w:eastAsia="Arial" w:hAnsi="Arial"/>
                <w:sz w:val="18"/>
                <w:szCs w:val="18"/>
                <w:color w:val="auto"/>
              </w:rPr>
              <w:t>term debt obligations (2)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2,524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13"/>
        </w:trPr>
        <w:tc>
          <w:tcPr>
            <w:tcW w:w="3640" w:type="dxa"/>
            <w:vAlign w:val="bottom"/>
            <w:gridSpan w:val="2"/>
          </w:tcPr>
          <w:p>
            <w:pPr>
              <w:spacing w:after="0"/>
              <w:rPr>
                <w:sz w:val="20"/>
                <w:szCs w:val="20"/>
                <w:color w:val="auto"/>
              </w:rPr>
            </w:pPr>
            <w:r>
              <w:rPr>
                <w:rFonts w:ascii="Arial" w:cs="Arial" w:eastAsia="Arial" w:hAnsi="Arial"/>
                <w:sz w:val="18"/>
                <w:szCs w:val="18"/>
                <w:color w:val="auto"/>
              </w:rPr>
              <w:t>Purchase obligations (4)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38,780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38,780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3640" w:type="dxa"/>
            <w:vAlign w:val="bottom"/>
            <w:gridSpan w:val="2"/>
            <w:shd w:val="clear" w:color="auto" w:fill="CCEEFF"/>
          </w:tcPr>
          <w:p>
            <w:pPr>
              <w:spacing w:after="0" w:line="207" w:lineRule="exact"/>
              <w:rPr>
                <w:sz w:val="20"/>
                <w:szCs w:val="20"/>
                <w:color w:val="auto"/>
              </w:rPr>
            </w:pPr>
            <w:r>
              <w:rPr>
                <w:rFonts w:ascii="Arial" w:cs="Arial" w:eastAsia="Arial" w:hAnsi="Arial"/>
                <w:sz w:val="18"/>
                <w:szCs w:val="18"/>
                <w:color w:val="auto"/>
              </w:rPr>
              <w:t>Other long</w:t>
            </w:r>
            <w:r>
              <w:rPr>
                <w:rFonts w:ascii="MS PGothic" w:cs="MS PGothic" w:eastAsia="MS PGothic" w:hAnsi="MS PGothic"/>
                <w:sz w:val="18"/>
                <w:szCs w:val="18"/>
                <w:color w:val="auto"/>
              </w:rPr>
              <w:t>‑</w:t>
            </w:r>
            <w:r>
              <w:rPr>
                <w:rFonts w:ascii="Arial" w:cs="Arial" w:eastAsia="Arial" w:hAnsi="Arial"/>
                <w:sz w:val="18"/>
                <w:szCs w:val="18"/>
                <w:color w:val="auto"/>
              </w:rPr>
              <w:t>term obligations (5)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6,338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r>
      <w:tr>
        <w:trPr>
          <w:trHeight w:val="106"/>
        </w:trPr>
        <w:tc>
          <w:tcPr>
            <w:tcW w:w="252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bl>
    <w:p>
      <w:pPr>
        <w:spacing w:after="0" w:line="81" w:lineRule="exact"/>
        <w:rPr>
          <w:sz w:val="20"/>
          <w:szCs w:val="20"/>
          <w:color w:val="auto"/>
        </w:rPr>
      </w:pPr>
    </w:p>
    <w:p>
      <w:pPr>
        <w:ind w:left="323" w:right="180" w:hanging="323"/>
        <w:spacing w:after="0" w:line="266"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Long-term debt obligations represent the principal portion of our convertible senior notes (the “Notes”). The Notes mature on March 1, 2022, unless repurchased, redeemed or converted at an earlier date.</w:t>
      </w:r>
    </w:p>
    <w:p>
      <w:pPr>
        <w:spacing w:after="0" w:line="179" w:lineRule="exact"/>
        <w:rPr>
          <w:rFonts w:ascii="Arial" w:cs="Arial" w:eastAsia="Arial" w:hAnsi="Arial"/>
          <w:sz w:val="18"/>
          <w:szCs w:val="18"/>
          <w:color w:val="auto"/>
        </w:rPr>
      </w:pPr>
    </w:p>
    <w:p>
      <w:pPr>
        <w:ind w:left="323" w:right="220" w:hanging="323"/>
        <w:spacing w:after="0" w:line="295" w:lineRule="auto"/>
        <w:tabs>
          <w:tab w:leader="none" w:pos="3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Interest on our long-term debt obligations primarily represents contractual interest on the Notes, which bear interest semi-annually at a rate of 1.375% per year. Interest excludes non-cash amortization of the debt discount and debt issuance costs.</w:t>
      </w:r>
    </w:p>
    <w:p>
      <w:pPr>
        <w:spacing w:after="0" w:line="157" w:lineRule="exact"/>
        <w:rPr>
          <w:rFonts w:ascii="Arial" w:cs="Arial" w:eastAsia="Arial" w:hAnsi="Arial"/>
          <w:sz w:val="17"/>
          <w:szCs w:val="17"/>
          <w:color w:val="auto"/>
        </w:rPr>
      </w:pPr>
    </w:p>
    <w:p>
      <w:pPr>
        <w:ind w:left="323" w:hanging="323"/>
        <w:spacing w:after="0"/>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lease obligations include amounts for leased facilities.</w:t>
      </w:r>
    </w:p>
    <w:p>
      <w:pPr>
        <w:spacing w:after="0" w:line="218" w:lineRule="exact"/>
        <w:rPr>
          <w:rFonts w:ascii="Arial" w:cs="Arial" w:eastAsia="Arial" w:hAnsi="Arial"/>
          <w:sz w:val="18"/>
          <w:szCs w:val="18"/>
          <w:color w:val="auto"/>
        </w:rPr>
      </w:pPr>
    </w:p>
    <w:p>
      <w:pPr>
        <w:ind w:left="323" w:right="740" w:hanging="323"/>
        <w:spacing w:after="0" w:line="266" w:lineRule="auto"/>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Purchase obligations include contractual arrangements in the form of purchase orders with suppliers where there is a fixed non-cancelable payment schedule or minimum payments due with a reduced delivery schedule.</w:t>
      </w:r>
    </w:p>
    <w:p>
      <w:pPr>
        <w:spacing w:after="0" w:line="179" w:lineRule="exact"/>
        <w:rPr>
          <w:rFonts w:ascii="Arial" w:cs="Arial" w:eastAsia="Arial" w:hAnsi="Arial"/>
          <w:sz w:val="18"/>
          <w:szCs w:val="18"/>
          <w:color w:val="auto"/>
        </w:rPr>
      </w:pPr>
    </w:p>
    <w:p>
      <w:pPr>
        <w:ind w:left="323" w:hanging="323"/>
        <w:spacing w:after="0"/>
        <w:tabs>
          <w:tab w:leader="none" w:pos="3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long-term obligations primarily represent non-current income taxes.</w:t>
      </w:r>
    </w:p>
    <w:p>
      <w:pPr>
        <w:spacing w:after="0" w:line="200" w:lineRule="exact"/>
        <w:rPr>
          <w:sz w:val="20"/>
          <w:szCs w:val="20"/>
          <w:color w:val="auto"/>
        </w:rPr>
      </w:pPr>
    </w:p>
    <w:p>
      <w:pPr>
        <w:spacing w:after="0" w:line="23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638810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3"/>
          </w:cols>
          <w:pgMar w:left="917" w:top="513" w:right="8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left="320" w:right="300"/>
        <w:spacing w:after="0" w:line="256" w:lineRule="auto"/>
        <w:rPr>
          <w:sz w:val="20"/>
          <w:szCs w:val="20"/>
          <w:color w:val="auto"/>
        </w:rPr>
      </w:pPr>
      <w:r>
        <w:rPr>
          <w:rFonts w:ascii="Arial" w:cs="Arial" w:eastAsia="Arial" w:hAnsi="Arial"/>
          <w:sz w:val="18"/>
          <w:szCs w:val="18"/>
          <w:color w:val="auto"/>
        </w:rPr>
        <w:t xml:space="preserve">We are unable to make a reasonably reliable estimate as to when or if cash settlement with taxing authorities will occur for our unrecognized tax benefits. Therefore, our liability of $2.4 million for unrecognized tax benefits is not included in the table above. See Note 17,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the Consolidated Financial Statements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28, 2019, we had no significant off-balance sheet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right="520" w:firstLine="319"/>
        <w:spacing w:after="0" w:line="253" w:lineRule="auto"/>
        <w:rPr>
          <w:sz w:val="20"/>
          <w:szCs w:val="20"/>
          <w:color w:val="auto"/>
        </w:rPr>
      </w:pPr>
      <w:r>
        <w:rPr>
          <w:rFonts w:ascii="Arial" w:cs="Arial" w:eastAsia="Arial" w:hAnsi="Arial"/>
          <w:sz w:val="18"/>
          <w:szCs w:val="18"/>
          <w:color w:val="auto"/>
        </w:rPr>
        <w:t>The preparation of financial statements and accompanying notes in conformity with U.S. generally accepted accounting principles requires that we make estimates and assumptions that affect the amounts reported. Changes in facts and circumstances could have a significant impact on the resulting estimated amounts included in the financial statements. We believe the following critical accounting policies affect our more complex judgments and estimates.</w:t>
      </w:r>
    </w:p>
    <w:p>
      <w:pPr>
        <w:spacing w:after="0" w:line="190" w:lineRule="exact"/>
        <w:rPr>
          <w:sz w:val="20"/>
          <w:szCs w:val="20"/>
          <w:color w:val="auto"/>
        </w:rPr>
      </w:pPr>
    </w:p>
    <w:p>
      <w:pPr>
        <w:ind w:right="80" w:firstLine="319"/>
        <w:spacing w:after="0" w:line="264" w:lineRule="auto"/>
        <w:rPr>
          <w:sz w:val="20"/>
          <w:szCs w:val="20"/>
          <w:color w:val="auto"/>
        </w:rPr>
      </w:pPr>
      <w:r>
        <w:rPr>
          <w:rFonts w:ascii="Arial" w:cs="Arial" w:eastAsia="Arial" w:hAnsi="Arial"/>
          <w:sz w:val="17"/>
          <w:szCs w:val="17"/>
          <w:i w:val="1"/>
          <w:iCs w:val="1"/>
          <w:color w:val="auto"/>
        </w:rPr>
        <w:t xml:space="preserve">Inventory valuation </w:t>
      </w:r>
      <w:r>
        <w:rPr>
          <w:rFonts w:ascii="Arial" w:cs="Arial" w:eastAsia="Arial" w:hAnsi="Arial"/>
          <w:sz w:val="17"/>
          <w:szCs w:val="17"/>
          <w:color w:val="auto"/>
        </w:rPr>
        <w:t>– We assess the recoverability of inventories through the application of a set of methods, assumptions and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In determining net realizable value, we write down inventory that may be slow moving or have some form of obsolescence, including inventory that has aged more than 12 months. We also adjust the valuation of inventory when its manufacturing cost exceeds the estimated selling price less costs of completion, disposal and transportation. We assess the potential for any unusual customer returns based on known quality or business issues and write-off inventory losses for scrap or non-saleable material. Inventory not otherwise identified to be written down is compared to an assessment of our 12-month forecasted demand. The result of this methodology is compared against the product life cycle and competitive situations in the marketplace to determine the appropriateness of the resulting inventory levels. Demand for our products may fluctuate significantly over time, and actual demand and market conditions may be more or less favorable than those that we project. In the event that actual demand is lower or market conditions are worse than originally projected, additional inventory write-downs may be required.</w:t>
      </w:r>
    </w:p>
    <w:p>
      <w:pPr>
        <w:spacing w:after="0" w:line="189"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i w:val="1"/>
          <w:iCs w:val="1"/>
          <w:color w:val="auto"/>
        </w:rPr>
        <w:t xml:space="preserve">Impairment of goodwill and other long-lived assets </w:t>
      </w:r>
      <w:r>
        <w:rPr>
          <w:rFonts w:ascii="Arial" w:cs="Arial" w:eastAsia="Arial" w:hAnsi="Arial"/>
          <w:sz w:val="17"/>
          <w:szCs w:val="17"/>
          <w:color w:val="auto"/>
        </w:rPr>
        <w:t>– We review long-lived assets which are held and used, including fixed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intangible assets, for impairment whenever changes in circumstances indicate that the carrying amount of the assets may not be recoverable. Such evaluations compare the carrying amount of an asset to future undiscounted net cash flows expected to be generated by the asset over its expected useful life and are significantly impacted by estimates of future prices and volumes for our products, capital needs, economic trends and other factors which are inherently difficult to forecast. If the asset is considered to be impaired, we record an impairment charge equal to the amount by which the carrying value of the asset exceeds its fair value determined by either a quoted market price, if any, or a value determined by utilizing a discounted cash flow technique.</w:t>
      </w:r>
    </w:p>
    <w:p>
      <w:pPr>
        <w:spacing w:after="0" w:line="184" w:lineRule="exact"/>
        <w:rPr>
          <w:sz w:val="20"/>
          <w:szCs w:val="20"/>
          <w:color w:val="auto"/>
        </w:rPr>
      </w:pPr>
    </w:p>
    <w:p>
      <w:pPr>
        <w:ind w:firstLine="319"/>
        <w:spacing w:after="0" w:line="268" w:lineRule="auto"/>
        <w:rPr>
          <w:sz w:val="20"/>
          <w:szCs w:val="20"/>
          <w:color w:val="auto"/>
        </w:rPr>
      </w:pPr>
      <w:r>
        <w:rPr>
          <w:rFonts w:ascii="Arial" w:cs="Arial" w:eastAsia="Arial" w:hAnsi="Arial"/>
          <w:sz w:val="17"/>
          <w:szCs w:val="17"/>
          <w:color w:val="auto"/>
        </w:rPr>
        <w:t>We test our goodwill for impairment annually as of the first day of our fourth fiscal quarter and in interim periods if certain events occur indicating that the carrying value of goodwill may be impaired. The goodwill impairment test is a two-step process. The first step of the impairment analysis compares our fair value to our net book value. In determining fair value, the accounting guidance allows for the use of several valuation methodologies, although it states quoted market prices are the best evidence of fair value. If the fair value is less than the net book value, the second step of the analysis compares the implied fair value of our goodwill to its carrying amount. If the carrying amount of goodwill exceeds its implied fair value, we recognize an impairment loss equal to that excess amount.</w:t>
      </w:r>
    </w:p>
    <w:p>
      <w:pPr>
        <w:spacing w:after="0" w:line="179" w:lineRule="exact"/>
        <w:rPr>
          <w:sz w:val="20"/>
          <w:szCs w:val="20"/>
          <w:color w:val="auto"/>
        </w:rPr>
      </w:pPr>
    </w:p>
    <w:p>
      <w:pPr>
        <w:ind w:right="20" w:firstLine="319"/>
        <w:spacing w:after="0" w:line="287" w:lineRule="auto"/>
        <w:rPr>
          <w:sz w:val="20"/>
          <w:szCs w:val="20"/>
          <w:color w:val="auto"/>
        </w:rPr>
      </w:pPr>
      <w:r>
        <w:rPr>
          <w:rFonts w:ascii="Arial" w:cs="Arial" w:eastAsia="Arial" w:hAnsi="Arial"/>
          <w:sz w:val="16"/>
          <w:szCs w:val="16"/>
          <w:i w:val="1"/>
          <w:iCs w:val="1"/>
          <w:color w:val="auto"/>
        </w:rPr>
        <w:t xml:space="preserve">Acquired intangible assets </w:t>
      </w:r>
      <w:r>
        <w:rPr>
          <w:rFonts w:ascii="Arial" w:cs="Arial" w:eastAsia="Arial" w:hAnsi="Arial"/>
          <w:sz w:val="16"/>
          <w:szCs w:val="16"/>
          <w:color w:val="auto"/>
        </w:rPr>
        <w:t>– When we acquire a business, a portion of the purchase price is typically allocated to identifiable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such as acquired technology and customer relationships. Fair value of these assets is determined primarily using the income approach, which requires us to project future cash flows and apply an appropriate discount rate. We amortize intangible assets with finite lives over their expected useful lives. Our estimates are based upon assumptions believed to be reasonable but which are inherently uncertain and unpredictable. Assumptions may be incomplete or inaccurate, and unanticipated events and circumstances may occur. Incorrect estimates could result in future impairment charges, and those charges could be material to our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ind w:right="40" w:firstLine="319"/>
        <w:spacing w:after="0" w:line="264"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We recognize revenue when control of the promised goods or services is transferred to customers, in an amount</w:t>
      </w:r>
      <w:r>
        <w:rPr>
          <w:rFonts w:ascii="Arial" w:cs="Arial" w:eastAsia="Arial" w:hAnsi="Arial"/>
          <w:sz w:val="17"/>
          <w:szCs w:val="17"/>
          <w:i w:val="1"/>
          <w:iCs w:val="1"/>
          <w:color w:val="auto"/>
        </w:rPr>
        <w:t xml:space="preserve"> </w:t>
      </w:r>
      <w:r>
        <w:rPr>
          <w:rFonts w:ascii="Arial" w:cs="Arial" w:eastAsia="Arial" w:hAnsi="Arial"/>
          <w:sz w:val="17"/>
          <w:szCs w:val="17"/>
          <w:color w:val="auto"/>
        </w:rPr>
        <w:t>that reflects the consideration we expect to be entitled to in exchange for those goods or services. In order to achieve this core principle, we apply a five-step process. As part of this process, we analyze the performance obligations in a customer contract and estimate the consideration we expect to receive. The evaluation of performance obligations requires that we identify the promised goods and services in the contract. For contracts that contain more than one promised good and service, we then must determine whether the promises are capable of being distinct and if they are separately identifiable from other promises in the contract. Additionally, for our sales to distributors, we must estimate the impact that price adjustments and rights of return will have on consideration. We make these estimates based on available information, including recent sales activity and pricing data. If our evaluation of performance obligations is incorrect, we may recognize revenue sooner or later than is appropriate. If our estimates of consideration are inaccurate, we may recognize too much or too little revenue in a period.</w:t>
      </w:r>
    </w:p>
    <w:p>
      <w:pPr>
        <w:spacing w:after="0" w:line="189"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We recognize the fair-value of stock-based compensation transactions in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Income. The fair value of our full-value stock awards (with the exception of market-based performance awards) equals the fair market value of our stock on the date of grant. The fair value of our market-based performance awards is estimated at the date of grant using a Monte-Carlo simulation. The fair value of our stock option and employee stock purchase plan grants is estimated at the date of grant using the Black-Scholes option pricing model. In addition, we are required to estimate the expected forfeiture rate of our stock grants and only recognize the expense for those shares expected to vest. If our actual experience differs significantly from the assumptions used to compute our stock-based compensation cost, or if different assumptions had been used, we may have recorded too much or too little stock-based compensation cost. See Note 15, </w:t>
      </w:r>
      <w:r>
        <w:rPr>
          <w:rFonts w:ascii="Arial" w:cs="Arial" w:eastAsia="Arial" w:hAnsi="Arial"/>
          <w:sz w:val="16"/>
          <w:szCs w:val="16"/>
          <w:i w:val="1"/>
          <w:iCs w:val="1"/>
          <w:color w:val="auto"/>
        </w:rPr>
        <w:t>Stock-Based Compensation</w:t>
      </w:r>
      <w:r>
        <w:rPr>
          <w:rFonts w:ascii="Arial" w:cs="Arial" w:eastAsia="Arial" w:hAnsi="Arial"/>
          <w:sz w:val="16"/>
          <w:szCs w:val="16"/>
          <w:color w:val="auto"/>
        </w:rPr>
        <w:t>, to the Consolidated Financial Statements for additional information.</w:t>
      </w:r>
    </w:p>
    <w:p>
      <w:pPr>
        <w:spacing w:after="0" w:line="172" w:lineRule="exact"/>
        <w:rPr>
          <w:sz w:val="20"/>
          <w:szCs w:val="20"/>
          <w:color w:val="auto"/>
        </w:rPr>
      </w:pPr>
    </w:p>
    <w:p>
      <w:pPr>
        <w:ind w:firstLine="319"/>
        <w:spacing w:after="0" w:line="24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We are required to calculate income taxes in each of the jurisdictions in which we operate. This process involves</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calculating the actual current tax liability together with assessing temporary differences in recognition of income (loss) for tax and accounting purposes. These differences result in deferred tax assets and liabilities, which are included in our Consolidated Balance Sheet. We record a valuation allowance when it is more likely than not that some portion or all of the deferred tax assets will not be realized. In assessing the need for a valuation allowance, we are required to estimate the amount of expected future taxable income. Judgment is inherent in this process and differences between the estimated and actual taxable income could result in a material impact on our Consolidated Financial Statements.</w:t>
      </w:r>
    </w:p>
    <w:p>
      <w:pPr>
        <w:spacing w:after="0" w:line="198" w:lineRule="exact"/>
        <w:rPr>
          <w:sz w:val="20"/>
          <w:szCs w:val="20"/>
          <w:color w:val="auto"/>
        </w:rPr>
      </w:pPr>
    </w:p>
    <w:p>
      <w:pPr>
        <w:ind w:right="100" w:firstLine="319"/>
        <w:spacing w:after="0" w:line="283" w:lineRule="auto"/>
        <w:rPr>
          <w:sz w:val="20"/>
          <w:szCs w:val="20"/>
          <w:color w:val="auto"/>
        </w:rPr>
      </w:pPr>
      <w:r>
        <w:rPr>
          <w:rFonts w:ascii="Arial" w:cs="Arial" w:eastAsia="Arial" w:hAnsi="Arial"/>
          <w:sz w:val="16"/>
          <w:szCs w:val="16"/>
          <w:color w:val="auto"/>
        </w:rPr>
        <w:t>We recognize liabilities for uncertain tax positions based on a two-step process. The first step requires us to determine whether the weight of available evidence indicates that the tax position has met the threshold for recognition. Therefore, we must evaluate whether it is more likely than not that the position will be sustained on audit, including resolution of any related appeals or litigation processes. The second step requires us to measure the tax benefit of the tax position taken, or expected to be taken, in an income tax return as the largest amount that is more than 50% likely of being realized upon ultimate settlement. This measurement step is inherently complex and requires subjective estimations of such amounts to determine the probability of various possible outcomes. We re-evaluate the uncertain tax positions each quarter based on factors including, but not limited to, changes in facts or circumstances, changes in tax law, expirations of statutes of limitation, effectively settled issues under audit, and new audit activity. Such a change in recognition or measurement would result in the recognition of a tax benefit or an additional charge to the tax provision in the period.</w:t>
      </w:r>
    </w:p>
    <w:p>
      <w:pPr>
        <w:spacing w:after="0" w:line="174" w:lineRule="exact"/>
        <w:rPr>
          <w:sz w:val="20"/>
          <w:szCs w:val="20"/>
          <w:color w:val="auto"/>
        </w:rPr>
      </w:pPr>
    </w:p>
    <w:p>
      <w:pPr>
        <w:ind w:right="80" w:firstLine="319"/>
        <w:spacing w:after="0" w:line="287" w:lineRule="auto"/>
        <w:rPr>
          <w:sz w:val="20"/>
          <w:szCs w:val="20"/>
          <w:color w:val="auto"/>
        </w:rPr>
      </w:pPr>
      <w:r>
        <w:rPr>
          <w:rFonts w:ascii="Arial" w:cs="Arial" w:eastAsia="Arial" w:hAnsi="Arial"/>
          <w:sz w:val="16"/>
          <w:szCs w:val="16"/>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effect on our income tax provision and net income in the period or periods for which that determination is made. We operate within multiple taxing jurisdictions and are subject to audit in these jurisdictions. These audits can involve complex issues which may require an extended period of time to resolve and could result in additional assessments of income tax. We believe adequate provisions for income taxes have been made for all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4" w:lineRule="exact"/>
        <w:rPr>
          <w:sz w:val="20"/>
          <w:szCs w:val="20"/>
          <w:color w:val="auto"/>
        </w:rPr>
      </w:pPr>
    </w:p>
    <w:p>
      <w:pPr>
        <w:ind w:right="340" w:firstLine="319"/>
        <w:spacing w:after="0" w:line="266" w:lineRule="auto"/>
        <w:rPr>
          <w:sz w:val="20"/>
          <w:szCs w:val="20"/>
          <w:color w:val="auto"/>
        </w:rPr>
      </w:pPr>
      <w:r>
        <w:rPr>
          <w:rFonts w:ascii="Arial" w:cs="Arial" w:eastAsia="Arial" w:hAnsi="Arial"/>
          <w:sz w:val="18"/>
          <w:szCs w:val="18"/>
          <w:color w:val="auto"/>
        </w:rPr>
        <w:t xml:space="preserve">Information regarding recent accounting pronouncements is provided in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the Consolidated Financial Statements. Such information is incorporated by reference herein.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18" w:lineRule="exact"/>
        <w:rPr>
          <w:sz w:val="20"/>
          <w:szCs w:val="20"/>
          <w:color w:val="auto"/>
        </w:rPr>
      </w:pPr>
    </w:p>
    <w:p>
      <w:pPr>
        <w:ind w:right="80" w:firstLine="319"/>
        <w:spacing w:after="0" w:line="268" w:lineRule="auto"/>
        <w:rPr>
          <w:sz w:val="20"/>
          <w:szCs w:val="20"/>
          <w:color w:val="auto"/>
        </w:rPr>
      </w:pPr>
      <w:r>
        <w:rPr>
          <w:rFonts w:ascii="Arial" w:cs="Arial" w:eastAsia="Arial" w:hAnsi="Arial"/>
          <w:sz w:val="17"/>
          <w:szCs w:val="17"/>
          <w:color w:val="auto"/>
        </w:rPr>
        <w:t>Our investment portfolio includes cash, cash equivalents, short-term investments and long-term investments. Our main investment objectives are the preservation of investment capital and the maximization of after-tax returns on our investment portfolio. Our interest income is sensitive to changes in the general level of U.S. interest rates. A 100 basis point decline in yield on our investment portfolio holdings as of December 28, 2019 and December 29, 2018 would decrease our future annual interest income by approximately $6.6 million and $5.6 million, respectively. We believe that our investment policy, which defines the duration, concentration, and minimum credit quality of the allowable investments, meets our investment objectives.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p>
      <w:pPr>
        <w:ind w:right="100" w:firstLine="319"/>
        <w:spacing w:after="0" w:line="253" w:lineRule="auto"/>
        <w:rPr>
          <w:sz w:val="20"/>
          <w:szCs w:val="20"/>
          <w:color w:val="auto"/>
        </w:rPr>
      </w:pPr>
      <w:r>
        <w:rPr>
          <w:rFonts w:ascii="Arial" w:cs="Arial" w:eastAsia="Arial" w:hAnsi="Arial"/>
          <w:sz w:val="18"/>
          <w:szCs w:val="18"/>
          <w:color w:val="auto"/>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have no borrowings as of December 28, 2019. If we borrow from the Credit Facility in the future, we will again be exposed to interest rate fluctuations.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18" w:lineRule="exact"/>
        <w:rPr>
          <w:sz w:val="20"/>
          <w:szCs w:val="20"/>
          <w:color w:val="auto"/>
        </w:rPr>
      </w:pPr>
    </w:p>
    <w:p>
      <w:pPr>
        <w:ind w:right="80" w:firstLine="319"/>
        <w:spacing w:after="0" w:line="268" w:lineRule="auto"/>
        <w:rPr>
          <w:sz w:val="20"/>
          <w:szCs w:val="20"/>
          <w:color w:val="auto"/>
        </w:rPr>
      </w:pPr>
      <w:r>
        <w:rPr>
          <w:rFonts w:ascii="Arial" w:cs="Arial" w:eastAsia="Arial" w:hAnsi="Arial"/>
          <w:sz w:val="17"/>
          <w:szCs w:val="17"/>
          <w:color w:val="auto"/>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Consolidated Statements of Income. We use foreign currency forward contracts to manage exposure to foreign exchange risk. Gains and losses on foreign currency forward contracts are recognized in earnings in the same period during which the hedged transaction is recognized.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Auction-rate Securities</w:t>
      </w:r>
    </w:p>
    <w:p>
      <w:pPr>
        <w:spacing w:after="0" w:line="218" w:lineRule="exact"/>
        <w:rPr>
          <w:sz w:val="20"/>
          <w:szCs w:val="20"/>
          <w:color w:val="auto"/>
        </w:rPr>
      </w:pPr>
    </w:p>
    <w:p>
      <w:pPr>
        <w:jc w:val="both"/>
        <w:ind w:right="40" w:firstLine="319"/>
        <w:spacing w:after="0" w:line="272" w:lineRule="auto"/>
        <w:rPr>
          <w:sz w:val="20"/>
          <w:szCs w:val="20"/>
          <w:color w:val="auto"/>
        </w:rPr>
      </w:pPr>
      <w:r>
        <w:rPr>
          <w:rFonts w:ascii="Arial" w:cs="Arial" w:eastAsia="Arial" w:hAnsi="Arial"/>
          <w:sz w:val="17"/>
          <w:szCs w:val="17"/>
          <w:color w:val="auto"/>
        </w:rPr>
        <w:t>As of December 28, 2019, we held $6.0 million par value auction-rate securities, all of which have experienced failed auctions because sell orders exceeded buy orders. We are unable to predict if these funds will become available before their maturity dates. Additionally, if we determine that an other-than-temporary decline in the fair value of any of our available-for-sale auction-rate securities has occurred, we may be required to adjust the carrying value of the investments through an impairment charge.</w:t>
      </w:r>
    </w:p>
    <w:p>
      <w:pPr>
        <w:spacing w:after="0" w:line="17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4" w:lineRule="exact"/>
        <w:rPr>
          <w:sz w:val="20"/>
          <w:szCs w:val="20"/>
          <w:color w:val="auto"/>
        </w:rPr>
      </w:pPr>
    </w:p>
    <w:p>
      <w:pPr>
        <w:ind w:right="500" w:firstLine="319"/>
        <w:spacing w:after="0" w:line="266" w:lineRule="auto"/>
        <w:rPr>
          <w:sz w:val="20"/>
          <w:szCs w:val="20"/>
          <w:color w:val="auto"/>
        </w:rPr>
      </w:pPr>
      <w:r>
        <w:rPr>
          <w:rFonts w:ascii="Arial" w:cs="Arial" w:eastAsia="Arial" w:hAnsi="Arial"/>
          <w:sz w:val="18"/>
          <w:szCs w:val="18"/>
          <w:color w:val="auto"/>
        </w:rPr>
        <w:t>The Financial Statements and supplementary data required by this item are included in Part IV, Item 15 of this Form 10-K and are presented beginning on page F-1.</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December 28, 2019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w:t>
      </w:r>
    </w:p>
    <w:p>
      <w:pPr>
        <w:sectPr>
          <w:pgSz w:w="11900" w:h="16838" w:orient="portrait"/>
          <w:cols w:equalWidth="0" w:num="1">
            <w:col w:w="10020"/>
          </w:cols>
          <w:pgMar w:left="920" w:top="513" w:right="95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20"/>
          </w:cols>
          <w:pgMar w:left="920" w:top="513" w:right="9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ind w:right="20" w:firstLine="319"/>
        <w:spacing w:after="0" w:line="266" w:lineRule="auto"/>
        <w:rPr>
          <w:sz w:val="20"/>
          <w:szCs w:val="20"/>
          <w:color w:val="auto"/>
        </w:rPr>
      </w:pPr>
      <w:r>
        <w:rPr>
          <w:rFonts w:ascii="Arial" w:cs="Arial" w:eastAsia="Arial" w:hAnsi="Arial"/>
          <w:sz w:val="18"/>
          <w:szCs w:val="18"/>
          <w:color w:val="auto"/>
        </w:rPr>
        <w:t>There was no change in our internal controls during the fiscal quarter ended December 28, 2019 that materially affected, or is reasonably likely to materially affect, our internal controls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4" w:lineRule="exact"/>
        <w:rPr>
          <w:sz w:val="20"/>
          <w:szCs w:val="20"/>
          <w:color w:val="auto"/>
        </w:rPr>
      </w:pPr>
    </w:p>
    <w:p>
      <w:pPr>
        <w:ind w:right="140" w:firstLine="319"/>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preparation and fair presentation of published financial statements.</w:t>
      </w:r>
    </w:p>
    <w:p>
      <w:pPr>
        <w:spacing w:after="0" w:line="188" w:lineRule="exact"/>
        <w:rPr>
          <w:sz w:val="20"/>
          <w:szCs w:val="20"/>
          <w:color w:val="auto"/>
        </w:rPr>
      </w:pPr>
    </w:p>
    <w:p>
      <w:pPr>
        <w:ind w:right="300" w:firstLine="319"/>
        <w:spacing w:after="0" w:line="253"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28, 2019.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framework). Based on our assessment we concluded that, as of December 28, 2019,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is effective based on those criteria.</w:t>
      </w:r>
    </w:p>
    <w:p>
      <w:pPr>
        <w:spacing w:after="0" w:line="190"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Our independent registered public accounting firm, Ernst &amp; Young LLP, issued an attestation report on our internal control over financial reporting. This report appears on page F-1.</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40"/>
          </w:cols>
          <w:pgMar w:left="920" w:top="513" w:right="9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4"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color w:val="auto"/>
        </w:rPr>
        <w:t>Certain information required by Part III is omitted from this report because we intend to file a definitive Proxy Statement pursuant to Regulation 14A (the “Proxy Statement”) no later than 120 days after the end of the fiscal year covered by this report, and certain information to be included therein is incorporated herein by reference.</w:t>
      </w:r>
    </w:p>
    <w:p>
      <w:pPr>
        <w:spacing w:after="0" w:line="18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information required by this Item is incorporated by reference to the Proxy Statement under the sections captioned “Proposal One: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Election of Directors,” “Executive Compensation,” “Section 16(a) Beneficial Ownership Reporting Compliance” and “Code of Ethics.”</w:t>
      </w:r>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224" w:lineRule="exact"/>
        <w:rPr>
          <w:sz w:val="20"/>
          <w:szCs w:val="20"/>
          <w:color w:val="auto"/>
        </w:rPr>
      </w:pPr>
    </w:p>
    <w:p>
      <w:pPr>
        <w:ind w:right="580" w:firstLine="319"/>
        <w:spacing w:after="0" w:line="266" w:lineRule="auto"/>
        <w:rPr>
          <w:sz w:val="20"/>
          <w:szCs w:val="20"/>
          <w:color w:val="auto"/>
        </w:rPr>
      </w:pPr>
      <w:r>
        <w:rPr>
          <w:rFonts w:ascii="Arial" w:cs="Arial" w:eastAsia="Arial" w:hAnsi="Arial"/>
          <w:sz w:val="18"/>
          <w:szCs w:val="18"/>
          <w:color w:val="auto"/>
        </w:rPr>
        <w:t>The information under the caption “Executive Compensation” and “Proposal One: Election of Directors” appearing in the Proxy Statement,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4" w:lineRule="exact"/>
        <w:rPr>
          <w:sz w:val="20"/>
          <w:szCs w:val="20"/>
          <w:color w:val="auto"/>
        </w:rPr>
      </w:pPr>
    </w:p>
    <w:p>
      <w:pPr>
        <w:ind w:right="400" w:firstLine="319"/>
        <w:spacing w:after="0" w:line="266" w:lineRule="auto"/>
        <w:rPr>
          <w:sz w:val="20"/>
          <w:szCs w:val="20"/>
          <w:color w:val="auto"/>
        </w:rPr>
      </w:pPr>
      <w:r>
        <w:rPr>
          <w:rFonts w:ascii="Arial" w:cs="Arial" w:eastAsia="Arial" w:hAnsi="Arial"/>
          <w:sz w:val="18"/>
          <w:szCs w:val="18"/>
          <w:color w:val="auto"/>
        </w:rPr>
        <w:t>The information under the caption “Ownership of Securities” and “Equity Compensation Plan Information” appearing in the Proxy Statement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224" w:lineRule="exact"/>
        <w:rPr>
          <w:sz w:val="20"/>
          <w:szCs w:val="20"/>
          <w:color w:val="auto"/>
        </w:rPr>
      </w:pPr>
    </w:p>
    <w:p>
      <w:pPr>
        <w:ind w:right="40" w:firstLine="319"/>
        <w:spacing w:after="0" w:line="266" w:lineRule="auto"/>
        <w:rPr>
          <w:sz w:val="20"/>
          <w:szCs w:val="20"/>
          <w:color w:val="auto"/>
        </w:rPr>
      </w:pPr>
      <w:r>
        <w:rPr>
          <w:rFonts w:ascii="Arial" w:cs="Arial" w:eastAsia="Arial" w:hAnsi="Arial"/>
          <w:sz w:val="18"/>
          <w:szCs w:val="18"/>
          <w:color w:val="auto"/>
        </w:rPr>
        <w:t>The information under the caption “Certain Relationships and Related Transactions, and Director Independence” appearing in the Proxy Statement is incorporated herein by reference.</w:t>
      </w:r>
    </w:p>
    <w:p>
      <w:pPr>
        <w:spacing w:after="0" w:line="17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224" w:lineRule="exact"/>
        <w:rPr>
          <w:sz w:val="20"/>
          <w:szCs w:val="20"/>
          <w:color w:val="auto"/>
        </w:rPr>
      </w:pPr>
    </w:p>
    <w:p>
      <w:pPr>
        <w:ind w:right="300" w:firstLine="319"/>
        <w:spacing w:after="0" w:line="266" w:lineRule="auto"/>
        <w:rPr>
          <w:sz w:val="20"/>
          <w:szCs w:val="20"/>
          <w:color w:val="auto"/>
        </w:rPr>
      </w:pPr>
      <w:r>
        <w:rPr>
          <w:rFonts w:ascii="Arial" w:cs="Arial" w:eastAsia="Arial" w:hAnsi="Arial"/>
          <w:sz w:val="18"/>
          <w:szCs w:val="18"/>
          <w:color w:val="auto"/>
        </w:rPr>
        <w:t>The information under the caption “Proposal Two: Ratification of Appointment of Independent Registered Public Accounting Firm” appearing in the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00"/>
          </w:cols>
          <w:pgMar w:left="920" w:top="513" w:right="9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 w:type="dxa"/>
            <w:vAlign w:val="bottom"/>
            <w:gridSpan w:val="2"/>
          </w:tcPr>
          <w:p>
            <w:pPr>
              <w:spacing w:after="0"/>
              <w:rPr>
                <w:sz w:val="20"/>
                <w:szCs w:val="20"/>
                <w:color w:val="auto"/>
              </w:rPr>
            </w:pPr>
            <w:r>
              <w:rPr>
                <w:rFonts w:ascii="Arial" w:cs="Arial" w:eastAsia="Arial" w:hAnsi="Arial"/>
                <w:sz w:val="18"/>
                <w:szCs w:val="18"/>
                <w:color w:val="auto"/>
              </w:rPr>
              <w:t>(a)  1.</w:t>
            </w:r>
          </w:p>
        </w:tc>
        <w:tc>
          <w:tcPr>
            <w:tcW w:w="8920" w:type="dxa"/>
            <w:vAlign w:val="bottom"/>
            <w:gridSpan w:val="11"/>
          </w:tcPr>
          <w:p>
            <w:pPr>
              <w:ind w:left="100"/>
              <w:spacing w:after="0"/>
              <w:rPr>
                <w:sz w:val="20"/>
                <w:szCs w:val="20"/>
                <w:color w:val="auto"/>
              </w:rPr>
            </w:pPr>
            <w:r>
              <w:rPr>
                <w:rFonts w:ascii="Arial" w:cs="Arial" w:eastAsia="Arial" w:hAnsi="Arial"/>
                <w:sz w:val="18"/>
                <w:szCs w:val="18"/>
                <w:color w:val="auto"/>
              </w:rPr>
              <w:t>Financial Statements</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Index</w:t>
            </w:r>
          </w:p>
        </w:tc>
        <w:tc>
          <w:tcPr>
            <w:tcW w:w="42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9460" w:type="dxa"/>
            <w:vAlign w:val="bottom"/>
            <w:gridSpan w:val="13"/>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3"/>
        </w:trPr>
        <w:tc>
          <w:tcPr>
            <w:tcW w:w="9460" w:type="dxa"/>
            <w:vAlign w:val="bottom"/>
            <w:gridSpan w:val="13"/>
            <w:vMerge w:val="continue"/>
          </w:tcPr>
          <w:p>
            <w:pPr>
              <w:spacing w:after="0"/>
              <w:rPr>
                <w:sz w:val="13"/>
                <w:szCs w:val="13"/>
                <w:color w:val="auto"/>
              </w:rPr>
            </w:pPr>
          </w:p>
        </w:tc>
        <w:tc>
          <w:tcPr>
            <w:tcW w:w="620" w:type="dxa"/>
            <w:vAlign w:val="bottom"/>
          </w:tcPr>
          <w:p>
            <w:pPr>
              <w:ind w:left="180"/>
              <w:spacing w:after="0" w:line="139"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46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620" w:type="dxa"/>
            <w:vAlign w:val="bottom"/>
          </w:tcPr>
          <w:p>
            <w:pPr>
              <w:ind w:left="18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4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Balance Sheets at December 28, 2019 and December 29, 2018</w:t>
              </w:r>
            </w:hyperlink>
          </w:p>
        </w:tc>
        <w:tc>
          <w:tcPr>
            <w:tcW w:w="4060" w:type="dxa"/>
            <w:vAlign w:val="bottom"/>
            <w:gridSpan w:val="5"/>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99"/>
        </w:trPr>
        <w:tc>
          <w:tcPr>
            <w:tcW w:w="9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Income for the fiscal years ended December 28, 2019, December 29, 2018 and December 30, 2017</w:t>
              </w:r>
            </w:hyperlink>
          </w:p>
        </w:tc>
        <w:tc>
          <w:tcPr>
            <w:tcW w:w="460" w:type="dxa"/>
            <w:vAlign w:val="bottom"/>
            <w:gridSpan w:val="3"/>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99"/>
        </w:trPr>
        <w:tc>
          <w:tcPr>
            <w:tcW w:w="8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Consolidated Statements of Comprehensive Income for the fiscal years ended December 28, 2019, December 29, 2018 and</w:t>
              </w:r>
            </w:hyperlink>
          </w:p>
        </w:tc>
        <w:tc>
          <w:tcPr>
            <w:tcW w:w="740" w:type="dxa"/>
            <w:vAlign w:val="bottom"/>
            <w:gridSpan w:val="4"/>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Pr>
          <w:p>
            <w:pPr>
              <w:spacing w:after="0"/>
              <w:rPr>
                <w:sz w:val="16"/>
                <w:szCs w:val="16"/>
                <w:color w:val="auto"/>
              </w:rPr>
            </w:pPr>
          </w:p>
        </w:tc>
        <w:tc>
          <w:tcPr>
            <w:tcW w:w="9260" w:type="dxa"/>
            <w:vAlign w:val="bottom"/>
            <w:gridSpan w:val="12"/>
          </w:tcPr>
          <w:p>
            <w:pPr>
              <w:spacing w:after="0" w:line="193" w:lineRule="exact"/>
              <w:rPr>
                <w:rFonts w:ascii="Arial" w:cs="Arial" w:eastAsia="Arial" w:hAnsi="Arial"/>
                <w:sz w:val="18"/>
                <w:szCs w:val="18"/>
                <w:color w:val="0000EE"/>
              </w:rPr>
            </w:pPr>
            <w:hyperlink w:anchor="page51">
              <w:r>
                <w:rPr>
                  <w:rFonts w:ascii="Arial" w:cs="Arial" w:eastAsia="Arial" w:hAnsi="Arial"/>
                  <w:sz w:val="18"/>
                  <w:szCs w:val="18"/>
                  <w:color w:val="0000EE"/>
                </w:rPr>
                <w:t>December 30, 2017</w:t>
              </w:r>
            </w:hyperlink>
          </w:p>
        </w:tc>
        <w:tc>
          <w:tcPr>
            <w:tcW w:w="620" w:type="dxa"/>
            <w:vAlign w:val="bottom"/>
          </w:tcPr>
          <w:p>
            <w:pPr>
              <w:ind w:left="180"/>
              <w:spacing w:after="0" w:line="193"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9460" w:type="dxa"/>
            <w:vAlign w:val="bottom"/>
            <w:gridSpan w:val="13"/>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Changes in Stockholders' Equity for the fiscal years ended December 28, 2019, December 29, 2018 and</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tcBorders>
              <w:top w:val="single" w:sz="8" w:color="0000EE"/>
            </w:tcBorders>
          </w:tcPr>
          <w:p>
            <w:pPr>
              <w:spacing w:after="0"/>
              <w:rPr>
                <w:sz w:val="16"/>
                <w:szCs w:val="16"/>
                <w:color w:val="auto"/>
              </w:rPr>
            </w:pPr>
          </w:p>
        </w:tc>
        <w:tc>
          <w:tcPr>
            <w:tcW w:w="9140" w:type="dxa"/>
            <w:vAlign w:val="bottom"/>
            <w:tcBorders>
              <w:top w:val="single" w:sz="8" w:color="0000EE"/>
            </w:tcBorders>
            <w:gridSpan w:val="11"/>
          </w:tcPr>
          <w:p>
            <w:pPr>
              <w:spacing w:after="0" w:line="193" w:lineRule="exact"/>
              <w:rPr>
                <w:rFonts w:ascii="Arial" w:cs="Arial" w:eastAsia="Arial" w:hAnsi="Arial"/>
                <w:sz w:val="18"/>
                <w:szCs w:val="18"/>
                <w:color w:val="0000EE"/>
              </w:rPr>
            </w:pPr>
            <w:hyperlink w:anchor="page52">
              <w:r>
                <w:rPr>
                  <w:rFonts w:ascii="Arial" w:cs="Arial" w:eastAsia="Arial" w:hAnsi="Arial"/>
                  <w:sz w:val="18"/>
                  <w:szCs w:val="18"/>
                  <w:color w:val="0000EE"/>
                </w:rPr>
                <w:t>December 30, 2017</w:t>
              </w:r>
            </w:hyperlink>
          </w:p>
        </w:tc>
        <w:tc>
          <w:tcPr>
            <w:tcW w:w="120" w:type="dxa"/>
            <w:vAlign w:val="bottom"/>
          </w:tcPr>
          <w:p>
            <w:pPr>
              <w:spacing w:after="0"/>
              <w:rPr>
                <w:sz w:val="16"/>
                <w:szCs w:val="16"/>
                <w:color w:val="auto"/>
              </w:rPr>
            </w:pPr>
          </w:p>
        </w:tc>
        <w:tc>
          <w:tcPr>
            <w:tcW w:w="620" w:type="dxa"/>
            <w:vAlign w:val="bottom"/>
          </w:tcPr>
          <w:p>
            <w:pPr>
              <w:ind w:left="180"/>
              <w:spacing w:after="0" w:line="193"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93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Consolidated Statements of Cash Flows for the fiscal years ended December 28, 2019, December 29, 2018 and December 30, 2017</w:t>
              </w:r>
            </w:hyperlink>
          </w:p>
        </w:tc>
        <w:tc>
          <w:tcPr>
            <w:tcW w:w="160" w:type="dxa"/>
            <w:vAlign w:val="bottom"/>
            <w:gridSpan w:val="2"/>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99"/>
        </w:trPr>
        <w:tc>
          <w:tcPr>
            <w:tcW w:w="31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Notes to Consolidated Financial Statements</w:t>
              </w:r>
            </w:hyperlink>
          </w:p>
        </w:tc>
        <w:tc>
          <w:tcPr>
            <w:tcW w:w="6360" w:type="dxa"/>
            <w:vAlign w:val="bottom"/>
            <w:gridSpan w:val="9"/>
          </w:tcPr>
          <w:p>
            <w:pPr>
              <w:spacing w:after="0"/>
              <w:rPr>
                <w:sz w:val="24"/>
                <w:szCs w:val="24"/>
                <w:color w:val="auto"/>
              </w:rPr>
            </w:pPr>
          </w:p>
        </w:tc>
        <w:tc>
          <w:tcPr>
            <w:tcW w:w="620" w:type="dxa"/>
            <w:vAlign w:val="bottom"/>
          </w:tcPr>
          <w:p>
            <w:pPr>
              <w:ind w:left="18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457"/>
        </w:trPr>
        <w:tc>
          <w:tcPr>
            <w:tcW w:w="540" w:type="dxa"/>
            <w:vAlign w:val="bottom"/>
            <w:gridSpan w:val="2"/>
          </w:tcPr>
          <w:p>
            <w:pPr>
              <w:ind w:left="320"/>
              <w:spacing w:after="0"/>
              <w:rPr>
                <w:sz w:val="20"/>
                <w:szCs w:val="20"/>
                <w:color w:val="auto"/>
              </w:rPr>
            </w:pPr>
            <w:r>
              <w:rPr>
                <w:rFonts w:ascii="Arial" w:cs="Arial" w:eastAsia="Arial" w:hAnsi="Arial"/>
                <w:sz w:val="18"/>
                <w:szCs w:val="18"/>
                <w:color w:val="auto"/>
              </w:rPr>
              <w:t>2.</w:t>
            </w:r>
          </w:p>
        </w:tc>
        <w:tc>
          <w:tcPr>
            <w:tcW w:w="8920" w:type="dxa"/>
            <w:vAlign w:val="bottom"/>
            <w:gridSpan w:val="11"/>
          </w:tcPr>
          <w:p>
            <w:pPr>
              <w:ind w:left="80"/>
              <w:spacing w:after="0"/>
              <w:rPr>
                <w:sz w:val="20"/>
                <w:szCs w:val="20"/>
                <w:color w:val="auto"/>
              </w:rPr>
            </w:pPr>
            <w:r>
              <w:rPr>
                <w:rFonts w:ascii="Arial" w:cs="Arial" w:eastAsia="Arial" w:hAnsi="Arial"/>
                <w:sz w:val="18"/>
                <w:szCs w:val="18"/>
                <w:color w:val="auto"/>
              </w:rPr>
              <w:t>Schedules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right="40" w:firstLine="319"/>
        <w:spacing w:after="0" w:line="256" w:lineRule="auto"/>
        <w:rPr>
          <w:sz w:val="20"/>
          <w:szCs w:val="20"/>
          <w:color w:val="auto"/>
        </w:rPr>
      </w:pPr>
      <w:r>
        <w:rPr>
          <w:rFonts w:ascii="Arial" w:cs="Arial" w:eastAsia="Arial" w:hAnsi="Arial"/>
          <w:sz w:val="18"/>
          <w:szCs w:val="18"/>
          <w:color w:val="auto"/>
        </w:rPr>
        <w:t>All schedules have been omitted since the information required by the schedule is not applicable, or is not present in amounts sufficient to require submission of the schedule, or because the information required is included in the Consolidated Financial Statements and notes thereto.</w:t>
      </w:r>
    </w:p>
    <w:p>
      <w:pPr>
        <w:spacing w:after="0" w:line="188" w:lineRule="exact"/>
        <w:rPr>
          <w:sz w:val="20"/>
          <w:szCs w:val="20"/>
          <w:color w:val="auto"/>
        </w:rPr>
      </w:pPr>
    </w:p>
    <w:p>
      <w:pPr>
        <w:ind w:left="620" w:hanging="304"/>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8" w:lineRule="exact"/>
        <w:rPr>
          <w:sz w:val="20"/>
          <w:szCs w:val="20"/>
          <w:color w:val="auto"/>
        </w:rPr>
      </w:pPr>
    </w:p>
    <w:p>
      <w:pPr>
        <w:ind w:left="320" w:right="100" w:firstLine="319"/>
        <w:spacing w:after="0" w:line="266" w:lineRule="auto"/>
        <w:rPr>
          <w:sz w:val="20"/>
          <w:szCs w:val="20"/>
          <w:color w:val="auto"/>
        </w:rPr>
      </w:pPr>
      <w:r>
        <w:rPr>
          <w:rFonts w:ascii="Arial" w:cs="Arial" w:eastAsia="Arial" w:hAnsi="Arial"/>
          <w:sz w:val="18"/>
          <w:szCs w:val="18"/>
          <w:color w:val="auto"/>
        </w:rPr>
        <w:t>The exhibits listed on the accompanying index to exhibits immediately following the Consolidated Financial Statements are filed as part of, or hereby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Exhibit</w:t>
      </w:r>
    </w:p>
    <w:p>
      <w:pPr>
        <w:ind w:left="120"/>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559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5930" cy="8255"/>
                    </a:xfrm>
                    <a:prstGeom prst="rect">
                      <a:avLst/>
                    </a:prstGeom>
                    <a:noFill/>
                  </pic:spPr>
                </pic:pic>
              </a:graphicData>
            </a:graphic>
          </wp:anchor>
        </w:drawing>
      </w:r>
    </w:p>
    <w:p>
      <w:pPr>
        <w:jc w:val="center"/>
        <w:ind w:right="720"/>
        <w:spacing w:after="0" w:line="27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2.1*  </w:t>
      </w:r>
      <w:hyperlink r:id="rId56">
        <w:r>
          <w:rPr>
            <w:rFonts w:ascii="Arial" w:cs="Arial" w:eastAsia="Arial" w:hAnsi="Arial"/>
            <w:sz w:val="17"/>
            <w:szCs w:val="17"/>
            <w:u w:val="single" w:color="auto"/>
            <w:color w:val="0000EE"/>
          </w:rPr>
          <w:t>Agreement and Plan of Merger, dated December 7, 2017, by and among Silicon Laboratories Inc., Seguin Merger</w:t>
        </w:r>
      </w:hyperlink>
      <w:r>
        <w:rPr>
          <w:rFonts w:ascii="Arial" w:cs="Arial" w:eastAsia="Arial" w:hAnsi="Arial"/>
          <w:sz w:val="17"/>
          <w:szCs w:val="17"/>
          <w:color w:val="auto"/>
        </w:rPr>
        <w:t xml:space="preserve"> </w:t>
      </w:r>
      <w:hyperlink r:id="rId56">
        <w:r>
          <w:rPr>
            <w:rFonts w:ascii="Arial" w:cs="Arial" w:eastAsia="Arial" w:hAnsi="Arial"/>
            <w:sz w:val="17"/>
            <w:szCs w:val="17"/>
            <w:u w:val="single" w:color="auto"/>
            <w:color w:val="0000EE"/>
          </w:rPr>
          <w:t>Subsidiary, Inc. and Sigma Designs, Inc. (filed as Exhibit 2.1 to the Form 8-K filed on December 8, 2017).</w:t>
        </w:r>
      </w:hyperlink>
    </w:p>
    <w:p>
      <w:pPr>
        <w:spacing w:after="0" w:line="65" w:lineRule="exact"/>
        <w:rPr>
          <w:sz w:val="20"/>
          <w:szCs w:val="20"/>
          <w:color w:val="auto"/>
        </w:rPr>
      </w:pPr>
    </w:p>
    <w:p>
      <w:pPr>
        <w:ind w:left="900" w:right="500" w:hanging="495"/>
        <w:spacing w:after="0" w:line="256"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7">
        <w:r>
          <w:rPr>
            <w:rFonts w:ascii="Arial" w:cs="Arial" w:eastAsia="Arial" w:hAnsi="Arial"/>
            <w:sz w:val="18"/>
            <w:szCs w:val="18"/>
            <w:u w:val="single" w:color="auto"/>
            <w:color w:val="0000EE"/>
          </w:rPr>
          <w:t>Form of Fourth Amended and Restated Certificate of Incorporation of Silicon Laboratories Inc. (filed as Exhibit 3.1 to the</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Registration Statement on Form S-1 (Securities and Exchange Commission File No. 333-94853) (the “IPO Registration</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Statement”)).</w:t>
        </w:r>
      </w:hyperlink>
    </w:p>
    <w:p>
      <w:pPr>
        <w:spacing w:after="0" w:line="82" w:lineRule="exact"/>
        <w:rPr>
          <w:rFonts w:ascii="Arial" w:cs="Arial" w:eastAsia="Arial" w:hAnsi="Arial"/>
          <w:sz w:val="18"/>
          <w:szCs w:val="18"/>
          <w:u w:val="single" w:color="auto"/>
          <w:color w:val="0000EE"/>
        </w:rPr>
      </w:pPr>
    </w:p>
    <w:p>
      <w:pPr>
        <w:ind w:left="4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58">
        <w:r>
          <w:rPr>
            <w:rFonts w:ascii="Arial" w:cs="Arial" w:eastAsia="Arial" w:hAnsi="Arial"/>
            <w:sz w:val="16"/>
            <w:szCs w:val="16"/>
            <w:u w:val="single" w:color="auto"/>
            <w:color w:val="0000EE"/>
          </w:rPr>
          <w:t>Fourth Amended and Restated Bylaws of Silicon Laboratories Inc. (filed as Exhibit 3.2 to the Form 8-K filed on January 27,</w:t>
        </w:r>
      </w:hyperlink>
    </w:p>
    <w:p>
      <w:pPr>
        <w:spacing w:after="0" w:line="17" w:lineRule="exact"/>
        <w:rPr>
          <w:rFonts w:ascii="Arial" w:cs="Arial" w:eastAsia="Arial" w:hAnsi="Arial"/>
          <w:sz w:val="18"/>
          <w:szCs w:val="18"/>
          <w:u w:val="single" w:color="auto"/>
          <w:color w:val="0000EE"/>
        </w:rPr>
      </w:pPr>
    </w:p>
    <w:p>
      <w:pPr>
        <w:ind w:left="900"/>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2017).</w:t>
        </w:r>
      </w:hyperlink>
    </w:p>
    <w:p>
      <w:pPr>
        <w:spacing w:after="0" w:line="101" w:lineRule="exact"/>
        <w:rPr>
          <w:rFonts w:ascii="Arial" w:cs="Arial" w:eastAsia="Arial" w:hAnsi="Arial"/>
          <w:sz w:val="18"/>
          <w:szCs w:val="18"/>
          <w:u w:val="single" w:color="auto"/>
          <w:color w:val="0000EE"/>
        </w:rPr>
      </w:pPr>
    </w:p>
    <w:p>
      <w:pPr>
        <w:ind w:left="4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59">
        <w:r>
          <w:rPr>
            <w:rFonts w:ascii="Arial" w:cs="Arial" w:eastAsia="Arial" w:hAnsi="Arial"/>
            <w:sz w:val="16"/>
            <w:szCs w:val="16"/>
            <w:u w:val="single" w:color="auto"/>
            <w:color w:val="0000EE"/>
          </w:rPr>
          <w:t>Specimen certificate for shares of common stock (filed as Exhibit 4.1 to the IPO Registration Statement).</w:t>
        </w:r>
      </w:hyperlink>
    </w:p>
    <w:p>
      <w:pPr>
        <w:spacing w:after="0" w:line="112" w:lineRule="exact"/>
        <w:rPr>
          <w:rFonts w:ascii="Arial" w:cs="Arial" w:eastAsia="Arial" w:hAnsi="Arial"/>
          <w:sz w:val="18"/>
          <w:szCs w:val="18"/>
          <w:u w:val="single" w:color="auto"/>
          <w:color w:val="0000EE"/>
        </w:rPr>
      </w:pPr>
    </w:p>
    <w:p>
      <w:pPr>
        <w:ind w:left="900" w:right="120" w:hanging="495"/>
        <w:spacing w:after="0" w:line="266"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60">
        <w:r>
          <w:rPr>
            <w:rFonts w:ascii="Arial" w:cs="Arial" w:eastAsia="Arial" w:hAnsi="Arial"/>
            <w:sz w:val="18"/>
            <w:szCs w:val="18"/>
            <w:u w:val="single" w:color="auto"/>
            <w:color w:val="0000EE"/>
          </w:rPr>
          <w:t>Indenture between Silicon Laboratories Inc. and Wilmington Trust, National Association, as trustee, dated March 6, 2017 (filed</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as Exhibit 4.1 to the Form 8-K filed on March 6, 2017).</w:t>
        </w:r>
      </w:hyperlink>
    </w:p>
    <w:p>
      <w:pPr>
        <w:spacing w:after="0" w:line="73" w:lineRule="exact"/>
        <w:rPr>
          <w:sz w:val="20"/>
          <w:szCs w:val="20"/>
          <w:color w:val="auto"/>
        </w:rPr>
      </w:pPr>
    </w:p>
    <w:p>
      <w:pPr>
        <w:ind w:left="40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60">
        <w:r>
          <w:rPr>
            <w:rFonts w:ascii="Arial" w:cs="Arial" w:eastAsia="Arial" w:hAnsi="Arial"/>
            <w:sz w:val="16"/>
            <w:szCs w:val="16"/>
            <w:u w:val="single" w:color="auto"/>
            <w:color w:val="0000EE"/>
          </w:rPr>
          <w:t>Form of 1.375% Convertible Senior Note due 2022 (filed as Exhibit 4.2 to the Form 8-K filed on March 6, 2017).</w:t>
        </w:r>
      </w:hyperlink>
    </w:p>
    <w:p>
      <w:pPr>
        <w:spacing w:after="0" w:line="112" w:lineRule="exact"/>
        <w:rPr>
          <w:sz w:val="20"/>
          <w:szCs w:val="20"/>
          <w:color w:val="auto"/>
        </w:rPr>
      </w:pPr>
    </w:p>
    <w:p>
      <w:pPr>
        <w:ind w:left="900" w:right="180" w:hanging="583"/>
        <w:spacing w:after="0" w:line="26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61">
        <w:r>
          <w:rPr>
            <w:rFonts w:ascii="Arial" w:cs="Arial" w:eastAsia="Arial" w:hAnsi="Arial"/>
            <w:sz w:val="18"/>
            <w:szCs w:val="18"/>
            <w:u w:val="single" w:color="auto"/>
            <w:color w:val="0000EE"/>
          </w:rPr>
          <w:t>Form of Indemnification Agreement between Silicon Laboratories Inc. and each of its directors and executive officers (filed as</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Exhibit 10.1 to the IPO Registration Statement).</w:t>
        </w:r>
      </w:hyperlink>
    </w:p>
    <w:p>
      <w:pPr>
        <w:spacing w:after="0" w:line="73" w:lineRule="exact"/>
        <w:rPr>
          <w:sz w:val="20"/>
          <w:szCs w:val="20"/>
          <w:color w:val="auto"/>
        </w:rPr>
      </w:pPr>
    </w:p>
    <w:p>
      <w:pPr>
        <w:ind w:left="900" w:hanging="583"/>
        <w:spacing w:after="0" w:line="256"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62">
        <w:r>
          <w:rPr>
            <w:rFonts w:ascii="Arial" w:cs="Arial" w:eastAsia="Arial" w:hAnsi="Arial"/>
            <w:sz w:val="18"/>
            <w:szCs w:val="18"/>
            <w:u w:val="single" w:color="auto"/>
            <w:color w:val="0000EE"/>
          </w:rPr>
          <w:t>Credit Agreement, dated July 31, 2012, by and among Silicon Laboratories Inc., the subsidiaries of the borrower identified</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therein, Bank of America, N.A., Wells Fargo Bank, National Association, and Regions Bank (filed as Exhibit 10.1 to the Form 8-</w:t>
        </w:r>
      </w:hyperlink>
      <w:hyperlink r:id="rId62">
        <w:r>
          <w:rPr>
            <w:rFonts w:ascii="Arial" w:cs="Arial" w:eastAsia="Arial" w:hAnsi="Arial"/>
            <w:sz w:val="18"/>
            <w:szCs w:val="18"/>
            <w:u w:val="single" w:color="auto"/>
            <w:color w:val="0000EE"/>
          </w:rPr>
          <w:t>K filed August 1, 2012).</w:t>
        </w:r>
      </w:hyperlink>
    </w:p>
    <w:p>
      <w:pPr>
        <w:spacing w:after="0" w:line="82" w:lineRule="exact"/>
        <w:rPr>
          <w:rFonts w:ascii="Arial" w:cs="Arial" w:eastAsia="Arial" w:hAnsi="Arial"/>
          <w:sz w:val="18"/>
          <w:szCs w:val="18"/>
          <w:u w:val="single" w:color="auto"/>
          <w:color w:val="0000EE"/>
        </w:rPr>
      </w:pPr>
    </w:p>
    <w:p>
      <w:pPr>
        <w:ind w:left="900" w:right="60" w:hanging="583"/>
        <w:spacing w:after="0" w:line="27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10.3*</w:t>
      </w:r>
      <w:r>
        <w:rPr>
          <w:sz w:val="20"/>
          <w:szCs w:val="20"/>
          <w:color w:val="auto"/>
        </w:rPr>
        <w:tab/>
      </w:r>
      <w:hyperlink r:id="rId63">
        <w:r>
          <w:rPr>
            <w:rFonts w:ascii="Arial" w:cs="Arial" w:eastAsia="Arial" w:hAnsi="Arial"/>
            <w:sz w:val="17"/>
            <w:szCs w:val="17"/>
            <w:u w:val="single" w:color="auto"/>
            <w:color w:val="0000EE"/>
          </w:rPr>
          <w:t>First Amendment to Credit Agreement, dated July 24, 2015, by and among Silicon Laboratories Inc., the subsidiaries of the</w:t>
        </w:r>
      </w:hyperlink>
      <w:r>
        <w:rPr>
          <w:rFonts w:ascii="Arial" w:cs="Arial" w:eastAsia="Arial" w:hAnsi="Arial"/>
          <w:sz w:val="17"/>
          <w:szCs w:val="17"/>
          <w:u w:val="single" w:color="auto"/>
          <w:color w:val="0000EE"/>
        </w:rPr>
        <w:t xml:space="preserve"> </w:t>
      </w:r>
      <w:hyperlink r:id="rId63">
        <w:r>
          <w:rPr>
            <w:rFonts w:ascii="Arial" w:cs="Arial" w:eastAsia="Arial" w:hAnsi="Arial"/>
            <w:sz w:val="17"/>
            <w:szCs w:val="17"/>
            <w:u w:val="single" w:color="auto"/>
            <w:color w:val="0000EE"/>
          </w:rPr>
          <w:t>borrower identified therein, Wells Fargo Bank, National Association, Citibank, N.A., Regions Bank, Bank of America, N.A. and</w:t>
        </w:r>
      </w:hyperlink>
      <w:r>
        <w:rPr>
          <w:rFonts w:ascii="Arial" w:cs="Arial" w:eastAsia="Arial" w:hAnsi="Arial"/>
          <w:sz w:val="17"/>
          <w:szCs w:val="17"/>
          <w:u w:val="single" w:color="auto"/>
          <w:color w:val="0000EE"/>
        </w:rPr>
        <w:t xml:space="preserve"> </w:t>
      </w:r>
      <w:hyperlink r:id="rId63">
        <w:r>
          <w:rPr>
            <w:rFonts w:ascii="Arial" w:cs="Arial" w:eastAsia="Arial" w:hAnsi="Arial"/>
            <w:sz w:val="17"/>
            <w:szCs w:val="17"/>
            <w:u w:val="single" w:color="auto"/>
            <w:color w:val="0000EE"/>
          </w:rPr>
          <w:t>the lenders party thereto (filed as Exhibit 10.1 to the Form 8-K filed on July 29, 2015).</w:t>
        </w:r>
      </w:hyperlink>
    </w:p>
    <w:p>
      <w:pPr>
        <w:spacing w:after="0" w:line="65" w:lineRule="exact"/>
        <w:rPr>
          <w:rFonts w:ascii="Arial" w:cs="Arial" w:eastAsia="Arial" w:hAnsi="Arial"/>
          <w:sz w:val="17"/>
          <w:szCs w:val="17"/>
          <w:u w:val="single" w:color="auto"/>
          <w:color w:val="0000EE"/>
        </w:rPr>
      </w:pPr>
    </w:p>
    <w:p>
      <w:pPr>
        <w:ind w:left="900" w:hanging="583"/>
        <w:spacing w:after="0" w:line="256"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64">
        <w:r>
          <w:rPr>
            <w:rFonts w:ascii="Arial" w:cs="Arial" w:eastAsia="Arial" w:hAnsi="Arial"/>
            <w:sz w:val="18"/>
            <w:szCs w:val="18"/>
            <w:u w:val="single" w:color="auto"/>
            <w:color w:val="0000EE"/>
          </w:rPr>
          <w:t>Second Amendment to Credit Agreement, dated February 27, 2017, by and among Silicon Laboratories Inc., the subsidiaries of</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the borrower identified therein, Wells Fargo Bank, National Association and the lenders party thereto (filed as Exhibit 10.1 to the</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Form 8-K filed on February 27, 2017).</w:t>
        </w:r>
      </w:hyperlink>
    </w:p>
    <w:p>
      <w:pPr>
        <w:spacing w:after="0" w:line="82" w:lineRule="exact"/>
        <w:rPr>
          <w:rFonts w:ascii="Arial" w:cs="Arial" w:eastAsia="Arial" w:hAnsi="Arial"/>
          <w:sz w:val="18"/>
          <w:szCs w:val="18"/>
          <w:u w:val="single" w:color="auto"/>
          <w:color w:val="0000EE"/>
        </w:rPr>
      </w:pPr>
    </w:p>
    <w:p>
      <w:pPr>
        <w:jc w:val="both"/>
        <w:ind w:left="900" w:right="220" w:hanging="583"/>
        <w:spacing w:after="0" w:line="256"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65">
        <w:r>
          <w:rPr>
            <w:rFonts w:ascii="Arial" w:cs="Arial" w:eastAsia="Arial" w:hAnsi="Arial"/>
            <w:sz w:val="18"/>
            <w:szCs w:val="18"/>
            <w:u w:val="single" w:color="auto"/>
            <w:color w:val="0000EE"/>
          </w:rPr>
          <w:t>Third Amendment to Credit Agreement, dated August 7, 2019, by and among Silicon Laboratories Inc., the subsidiaries of the</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borrower identified therein, Wells Fargo Bank, National Association and the lenders party thereto (filed as Exhibit 10.1 to the</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Form 8-K filed on August 7, 2019).</w:t>
        </w:r>
      </w:hyperlink>
    </w:p>
    <w:p>
      <w:pPr>
        <w:spacing w:after="0" w:line="82" w:lineRule="exact"/>
        <w:rPr>
          <w:rFonts w:ascii="Arial" w:cs="Arial" w:eastAsia="Arial" w:hAnsi="Arial"/>
          <w:sz w:val="18"/>
          <w:szCs w:val="18"/>
          <w:u w:val="single" w:color="auto"/>
          <w:color w:val="0000EE"/>
        </w:rPr>
      </w:pPr>
    </w:p>
    <w:p>
      <w:pPr>
        <w:ind w:left="900" w:right="40" w:hanging="583"/>
        <w:spacing w:after="0" w:line="256"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66">
        <w:r>
          <w:rPr>
            <w:rFonts w:ascii="Arial" w:cs="Arial" w:eastAsia="Arial" w:hAnsi="Arial"/>
            <w:sz w:val="18"/>
            <w:szCs w:val="18"/>
            <w:u w:val="single" w:color="auto"/>
            <w:color w:val="0000EE"/>
          </w:rPr>
          <w:t>Security and Pledge Agreement, dated July 31, 2012, by and among Silicon Laboratories Inc., with the other parties identified as</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“Obligors” (as defined therein) and such other parties that may become Obligors thereunder after the date thereof, and Bank of</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America, N.A (filed as Exhibit 10.2 to the Form 8-K filed August 1, 2012).</w:t>
        </w:r>
      </w:hyperlink>
    </w:p>
    <w:p>
      <w:pPr>
        <w:spacing w:after="0" w:line="82" w:lineRule="exact"/>
        <w:rPr>
          <w:rFonts w:ascii="Arial" w:cs="Arial" w:eastAsia="Arial" w:hAnsi="Arial"/>
          <w:sz w:val="18"/>
          <w:szCs w:val="18"/>
          <w:u w:val="single" w:color="auto"/>
          <w:color w:val="0000EE"/>
        </w:rPr>
      </w:pPr>
    </w:p>
    <w:p>
      <w:pPr>
        <w:ind w:left="900" w:right="400" w:hanging="583"/>
        <w:spacing w:after="0" w:line="26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67">
        <w:r>
          <w:rPr>
            <w:rFonts w:ascii="Arial" w:cs="Arial" w:eastAsia="Arial" w:hAnsi="Arial"/>
            <w:sz w:val="18"/>
            <w:szCs w:val="18"/>
            <w:u w:val="single" w:color="auto"/>
            <w:color w:val="0000EE"/>
          </w:rPr>
          <w:t>Silicon Laboratories Inc. 2009 Stock Incentive Plan, as amended and restated on April 20, 2017 (filed as Exhibit 10.1 to the</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Form 10-Q filed on July 26, 2017).</w:t>
        </w:r>
      </w:hyperlink>
    </w:p>
    <w:p>
      <w:pPr>
        <w:spacing w:after="0" w:line="73" w:lineRule="exact"/>
        <w:rPr>
          <w:sz w:val="20"/>
          <w:szCs w:val="20"/>
          <w:color w:val="auto"/>
        </w:rPr>
      </w:pPr>
    </w:p>
    <w:p>
      <w:pPr>
        <w:ind w:left="900" w:right="100" w:hanging="583"/>
        <w:spacing w:after="0" w:line="26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68">
        <w:r>
          <w:rPr>
            <w:rFonts w:ascii="Arial" w:cs="Arial" w:eastAsia="Arial" w:hAnsi="Arial"/>
            <w:sz w:val="18"/>
            <w:szCs w:val="18"/>
            <w:u w:val="single" w:color="auto"/>
            <w:color w:val="0000EE"/>
          </w:rPr>
          <w:t>Silicon Laboratories Inc. 2009 Employee Stock Purchase Plan, as amended and restated on April 20, 2017 (filed as Exhibit 10.2</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to the Form 10-Q filed on July 26, 2017).</w:t>
        </w:r>
      </w:hyperlink>
    </w:p>
    <w:p>
      <w:pPr>
        <w:spacing w:after="0" w:line="73" w:lineRule="exact"/>
        <w:rPr>
          <w:sz w:val="20"/>
          <w:szCs w:val="20"/>
          <w:color w:val="auto"/>
        </w:rPr>
      </w:pPr>
    </w:p>
    <w:p>
      <w:pPr>
        <w:ind w:left="900" w:hanging="583"/>
        <w:spacing w:after="0" w:line="29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10.9*+ </w:t>
      </w:r>
      <w:hyperlink r:id="rId69">
        <w:r>
          <w:rPr>
            <w:rFonts w:ascii="Arial" w:cs="Arial" w:eastAsia="Arial" w:hAnsi="Arial"/>
            <w:sz w:val="17"/>
            <w:szCs w:val="17"/>
            <w:u w:val="single" w:color="auto"/>
            <w:color w:val="0000EE"/>
          </w:rPr>
          <w:t>Form of Restricted Stock Units Grant Notice and Global Restricted Stock Units Award Agreement under Registrant’s 2009 Stock</w:t>
        </w:r>
      </w:hyperlink>
      <w:r>
        <w:rPr>
          <w:rFonts w:ascii="Arial" w:cs="Arial" w:eastAsia="Arial" w:hAnsi="Arial"/>
          <w:sz w:val="17"/>
          <w:szCs w:val="17"/>
          <w:color w:val="auto"/>
        </w:rPr>
        <w:t xml:space="preserve"> </w:t>
      </w:r>
      <w:hyperlink r:id="rId69">
        <w:r>
          <w:rPr>
            <w:rFonts w:ascii="Arial" w:cs="Arial" w:eastAsia="Arial" w:hAnsi="Arial"/>
            <w:sz w:val="17"/>
            <w:szCs w:val="17"/>
            <w:u w:val="single" w:color="auto"/>
            <w:color w:val="0000EE"/>
          </w:rPr>
          <w:t>Incentive Plan, as amended and restated (filed as Exhibit 10.7 to the Form 10-K filed on February 1, 2017).</w:t>
        </w:r>
      </w:hyperlink>
    </w:p>
    <w:p>
      <w:pPr>
        <w:spacing w:after="0" w:line="51" w:lineRule="exact"/>
        <w:rPr>
          <w:sz w:val="20"/>
          <w:szCs w:val="20"/>
          <w:color w:val="auto"/>
        </w:rPr>
      </w:pPr>
    </w:p>
    <w:p>
      <w:pPr>
        <w:ind w:left="900" w:right="400" w:hanging="672"/>
        <w:spacing w:after="0" w:line="29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10.10*+ </w:t>
      </w:r>
      <w:hyperlink r:id="rId70">
        <w:r>
          <w:rPr>
            <w:rFonts w:ascii="Arial" w:cs="Arial" w:eastAsia="Arial" w:hAnsi="Arial"/>
            <w:sz w:val="17"/>
            <w:szCs w:val="17"/>
            <w:u w:val="single" w:color="auto"/>
            <w:color w:val="0000EE"/>
          </w:rPr>
          <w:t>Form of Market Stock Units Grant Notice and Global Market Stock Units Award Agreement under Registrant’s 2009 Stock</w:t>
        </w:r>
      </w:hyperlink>
      <w:r>
        <w:rPr>
          <w:rFonts w:ascii="Arial" w:cs="Arial" w:eastAsia="Arial" w:hAnsi="Arial"/>
          <w:sz w:val="17"/>
          <w:szCs w:val="17"/>
          <w:color w:val="auto"/>
        </w:rPr>
        <w:t xml:space="preserve"> </w:t>
      </w:r>
      <w:hyperlink r:id="rId70">
        <w:r>
          <w:rPr>
            <w:rFonts w:ascii="Arial" w:cs="Arial" w:eastAsia="Arial" w:hAnsi="Arial"/>
            <w:sz w:val="17"/>
            <w:szCs w:val="17"/>
            <w:u w:val="single" w:color="auto"/>
            <w:color w:val="0000EE"/>
          </w:rPr>
          <w:t>Incentive Plan, as amended and restated (filed as Exhibit 10.8 to the Form 10-K filed on February 1, 2017).</w:t>
        </w:r>
      </w:hyperlink>
    </w:p>
    <w:p>
      <w:pPr>
        <w:spacing w:after="0" w:line="51" w:lineRule="exact"/>
        <w:rPr>
          <w:sz w:val="20"/>
          <w:szCs w:val="20"/>
          <w:color w:val="auto"/>
        </w:rPr>
      </w:pPr>
    </w:p>
    <w:p>
      <w:pPr>
        <w:ind w:left="900" w:hanging="665"/>
        <w:spacing w:after="0" w:line="26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71">
        <w:r>
          <w:rPr>
            <w:rFonts w:ascii="Arial" w:cs="Arial" w:eastAsia="Arial" w:hAnsi="Arial"/>
            <w:sz w:val="18"/>
            <w:szCs w:val="18"/>
            <w:u w:val="single" w:color="auto"/>
            <w:color w:val="0000EE"/>
          </w:rPr>
          <w:t>Form of Stock Option Grant Notice and Global Stock Option Award Agreement under Registrant’s 2009 Stock Incentive Plan, as</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amended and restated (filed as Exhibit 10.9 to the Form 10-K filed on February 1, 2017).</w:t>
        </w:r>
      </w:hyperlink>
    </w:p>
    <w:p>
      <w:pPr>
        <w:spacing w:after="0" w:line="73" w:lineRule="exact"/>
        <w:rPr>
          <w:sz w:val="20"/>
          <w:szCs w:val="20"/>
          <w:color w:val="auto"/>
        </w:rPr>
      </w:pPr>
    </w:p>
    <w:p>
      <w:pPr>
        <w:ind w:left="880" w:right="380" w:hanging="659"/>
        <w:spacing w:after="0" w:line="295"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10.12*+ </w:t>
      </w:r>
      <w:hyperlink r:id="rId72">
        <w:r>
          <w:rPr>
            <w:rFonts w:ascii="Arial" w:cs="Arial" w:eastAsia="Arial" w:hAnsi="Arial"/>
            <w:sz w:val="17"/>
            <w:szCs w:val="17"/>
            <w:u w:val="single" w:color="auto"/>
            <w:color w:val="0000EE"/>
          </w:rPr>
          <w:t>Form of Performance Stock Units Grant Notice and Global PSU Award Agreement under Registrant’s 2009 Stock Incentive</w:t>
        </w:r>
      </w:hyperlink>
      <w:r>
        <w:rPr>
          <w:rFonts w:ascii="Arial" w:cs="Arial" w:eastAsia="Arial" w:hAnsi="Arial"/>
          <w:sz w:val="17"/>
          <w:szCs w:val="17"/>
          <w:color w:val="auto"/>
        </w:rPr>
        <w:t xml:space="preserve"> </w:t>
      </w:r>
      <w:hyperlink r:id="rId72">
        <w:r>
          <w:rPr>
            <w:rFonts w:ascii="Arial" w:cs="Arial" w:eastAsia="Arial" w:hAnsi="Arial"/>
            <w:sz w:val="17"/>
            <w:szCs w:val="17"/>
            <w:u w:val="single" w:color="auto"/>
            <w:color w:val="0000EE"/>
          </w:rPr>
          <w:t>Plan, as amended and restated (filed as Exhibit 10.10 to the Form 10-K filed on February 1, 2017).</w:t>
        </w:r>
      </w:hyperlink>
    </w:p>
    <w:p>
      <w:pPr>
        <w:spacing w:after="0" w:line="51" w:lineRule="exact"/>
        <w:rPr>
          <w:sz w:val="20"/>
          <w:szCs w:val="20"/>
          <w:color w:val="auto"/>
        </w:rPr>
      </w:pPr>
    </w:p>
    <w:p>
      <w:pPr>
        <w:ind w:left="880" w:right="240" w:hanging="659"/>
        <w:spacing w:after="0" w:line="256"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73">
        <w:r>
          <w:rPr>
            <w:rFonts w:ascii="Arial" w:cs="Arial" w:eastAsia="Arial" w:hAnsi="Arial"/>
            <w:sz w:val="18"/>
            <w:szCs w:val="18"/>
            <w:u w:val="single" w:color="auto"/>
            <w:color w:val="0000EE"/>
          </w:rPr>
          <w:t>Purchase Agreement between Silicon Laboratories Inc. and Goldman, Sachs &amp; Co. and Wells Fargo Securities, LLC, as</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representatives of the several initial purchasers named therein, dated February 28, 2017 (filed as Exhibit 10.1 to the Form 8-K</w:t>
        </w:r>
      </w:hyperlink>
      <w:r>
        <w:rPr>
          <w:rFonts w:ascii="Arial" w:cs="Arial" w:eastAsia="Arial" w:hAnsi="Arial"/>
          <w:sz w:val="18"/>
          <w:szCs w:val="18"/>
          <w:u w:val="single" w:color="auto"/>
          <w:color w:val="0000EE"/>
        </w:rPr>
        <w:t xml:space="preserve"> </w:t>
      </w:r>
      <w:hyperlink r:id="rId73">
        <w:r>
          <w:rPr>
            <w:rFonts w:ascii="Arial" w:cs="Arial" w:eastAsia="Arial" w:hAnsi="Arial"/>
            <w:sz w:val="18"/>
            <w:szCs w:val="18"/>
            <w:u w:val="single" w:color="auto"/>
            <w:color w:val="0000EE"/>
          </w:rPr>
          <w:t>filed on March 6, 2017).</w:t>
        </w:r>
      </w:hyperlink>
    </w:p>
    <w:p>
      <w:pPr>
        <w:sectPr>
          <w:pgSz w:w="11900" w:h="16838" w:orient="portrait"/>
          <w:cols w:equalWidth="0" w:num="1">
            <w:col w:w="10060"/>
          </w:cols>
          <w:pgMar w:left="920" w:top="513" w:right="919" w:bottom="1440" w:gutter="0" w:footer="0" w:header="0"/>
        </w:sectPr>
      </w:pPr>
    </w:p>
    <w:p>
      <w:pPr>
        <w:spacing w:after="0" w:line="200" w:lineRule="exact"/>
        <w:rPr>
          <w:rFonts w:ascii="Arial" w:cs="Arial" w:eastAsia="Arial" w:hAnsi="Arial"/>
          <w:sz w:val="18"/>
          <w:szCs w:val="18"/>
          <w:u w:val="single" w:color="auto"/>
          <w:color w:val="0000EE"/>
        </w:rPr>
      </w:pPr>
    </w:p>
    <w:p>
      <w:pPr>
        <w:spacing w:after="0" w:line="307"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type w:val="continuous"/>
        </w:sectPr>
      </w:pPr>
    </w:p>
    <w:bookmarkStart w:id="43" w:name="page44"/>
    <w:bookmarkEnd w:id="43"/>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43"/>
        <w:spacing w:after="0"/>
        <w:rPr>
          <w:sz w:val="20"/>
          <w:szCs w:val="20"/>
          <w:color w:val="auto"/>
        </w:rPr>
      </w:pPr>
      <w:r>
        <w:rPr>
          <w:rFonts w:ascii="Arial" w:cs="Arial" w:eastAsia="Arial" w:hAnsi="Arial"/>
          <w:sz w:val="14"/>
          <w:szCs w:val="14"/>
          <w:color w:val="auto"/>
        </w:rPr>
        <w:t>Exhibit</w:t>
      </w:r>
    </w:p>
    <w:p>
      <w:pPr>
        <w:ind w:left="123"/>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447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ind w:left="883" w:right="380" w:hanging="659"/>
        <w:spacing w:after="0" w:line="24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10.14*+ </w:t>
      </w:r>
      <w:hyperlink r:id="rId76">
        <w:r>
          <w:rPr>
            <w:rFonts w:ascii="Arial" w:cs="Arial" w:eastAsia="Arial" w:hAnsi="Arial"/>
            <w:sz w:val="18"/>
            <w:szCs w:val="18"/>
            <w:u w:val="single" w:color="auto"/>
            <w:color w:val="0000EE"/>
          </w:rPr>
          <w:t>CEO Change in Control Agreement dated October 23, 2018 between Silicon Laboratories Inc. and G. Tyson Tuttle (filed as</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EE"/>
          </w:rPr>
          <w:t>Exhibit 10.1 to the Form 8-K filed on October 24, 2018).</w:t>
        </w:r>
      </w:hyperlink>
    </w:p>
    <w:p>
      <w:pPr>
        <w:spacing w:after="0" w:line="88" w:lineRule="exact"/>
        <w:rPr>
          <w:sz w:val="20"/>
          <w:szCs w:val="20"/>
          <w:color w:val="auto"/>
        </w:rPr>
      </w:pPr>
    </w:p>
    <w:p>
      <w:pPr>
        <w:ind w:left="223"/>
        <w:spacing w:after="0"/>
        <w:rPr>
          <w:rFonts w:ascii="Arial" w:cs="Arial" w:eastAsia="Arial" w:hAnsi="Arial"/>
          <w:sz w:val="17"/>
          <w:szCs w:val="17"/>
          <w:color w:val="auto"/>
        </w:rPr>
      </w:pPr>
      <w:r>
        <w:rPr>
          <w:rFonts w:ascii="Arial" w:cs="Arial" w:eastAsia="Arial" w:hAnsi="Arial"/>
          <w:sz w:val="17"/>
          <w:szCs w:val="17"/>
          <w:color w:val="auto"/>
        </w:rPr>
        <w:t xml:space="preserve">10.15*+ </w:t>
      </w:r>
      <w:hyperlink r:id="rId77">
        <w:r>
          <w:rPr>
            <w:rFonts w:ascii="Arial" w:cs="Arial" w:eastAsia="Arial" w:hAnsi="Arial"/>
            <w:sz w:val="17"/>
            <w:szCs w:val="17"/>
            <w:u w:val="single" w:color="auto"/>
            <w:color w:val="0000EE"/>
          </w:rPr>
          <w:t>Silicon Laboratories Inc. Form of Change in Control Agreement (filed as Exhibit 10.2 to the Form 8-K filed on October 24,</w:t>
        </w:r>
      </w:hyperlink>
    </w:p>
    <w:p>
      <w:pPr>
        <w:spacing w:after="0" w:line="28" w:lineRule="exact"/>
        <w:rPr>
          <w:sz w:val="20"/>
          <w:szCs w:val="20"/>
          <w:color w:val="auto"/>
        </w:rPr>
      </w:pPr>
    </w:p>
    <w:p>
      <w:pPr>
        <w:ind w:left="883"/>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2018).</w:t>
        </w:r>
      </w:hyperlink>
    </w:p>
    <w:p>
      <w:pPr>
        <w:spacing w:after="0" w:line="101" w:lineRule="exact"/>
        <w:rPr>
          <w:sz w:val="20"/>
          <w:szCs w:val="20"/>
          <w:color w:val="auto"/>
        </w:rPr>
      </w:pPr>
    </w:p>
    <w:p>
      <w:pPr>
        <w:ind w:left="223"/>
        <w:spacing w:after="0"/>
        <w:rPr>
          <w:rFonts w:ascii="Arial" w:cs="Arial" w:eastAsia="Arial" w:hAnsi="Arial"/>
          <w:sz w:val="18"/>
          <w:szCs w:val="18"/>
          <w:color w:val="auto"/>
        </w:rPr>
      </w:pPr>
      <w:r>
        <w:rPr>
          <w:rFonts w:ascii="Arial" w:cs="Arial" w:eastAsia="Arial" w:hAnsi="Arial"/>
          <w:sz w:val="18"/>
          <w:szCs w:val="18"/>
          <w:color w:val="auto"/>
        </w:rPr>
        <w:t xml:space="preserve">10.16*+ </w:t>
      </w:r>
      <w:hyperlink r:id="rId78">
        <w:r>
          <w:rPr>
            <w:rFonts w:ascii="Arial" w:cs="Arial" w:eastAsia="Arial" w:hAnsi="Arial"/>
            <w:sz w:val="18"/>
            <w:szCs w:val="18"/>
            <w:u w:val="single" w:color="auto"/>
            <w:color w:val="0000EE"/>
          </w:rPr>
          <w:t>Silicon Laboratories Inc. 2020 Bonus Plan (filed as Exhibit 10.1 to the Form 8-K filed on January 24, 2020).</w:t>
        </w:r>
      </w:hyperlink>
    </w:p>
    <w:p>
      <w:pPr>
        <w:spacing w:after="0" w:line="112" w:lineRule="exact"/>
        <w:rPr>
          <w:sz w:val="20"/>
          <w:szCs w:val="20"/>
          <w:color w:val="auto"/>
        </w:rPr>
      </w:pPr>
    </w:p>
    <w:p>
      <w:pPr>
        <w:ind w:left="883" w:hanging="355"/>
        <w:spacing w:after="0"/>
        <w:tabs>
          <w:tab w:leader="none" w:pos="883" w:val="left"/>
        </w:tabs>
        <w:numPr>
          <w:ilvl w:val="0"/>
          <w:numId w:val="34"/>
        </w:numPr>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Subsidiaries of the Registrant.</w:t>
        </w:r>
      </w:hyperlink>
    </w:p>
    <w:p>
      <w:pPr>
        <w:spacing w:after="0" w:line="200" w:lineRule="exact"/>
        <w:rPr>
          <w:sz w:val="20"/>
          <w:szCs w:val="20"/>
          <w:color w:val="auto"/>
        </w:rPr>
      </w:pPr>
    </w:p>
    <w:p>
      <w:pPr>
        <w:spacing w:after="0" w:line="231" w:lineRule="exact"/>
        <w:rPr>
          <w:sz w:val="20"/>
          <w:szCs w:val="20"/>
          <w:color w:val="auto"/>
        </w:rPr>
      </w:pPr>
    </w:p>
    <w:p>
      <w:pPr>
        <w:ind w:left="883" w:hanging="355"/>
        <w:spacing w:after="0"/>
        <w:tabs>
          <w:tab w:leader="none" w:pos="883" w:val="left"/>
        </w:tabs>
        <w:numPr>
          <w:ilvl w:val="0"/>
          <w:numId w:val="35"/>
        </w:numPr>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Power of Attorney (included on signature page to this Form 10-K).</w:t>
        </w:r>
      </w:hyperlink>
    </w:p>
    <w:p>
      <w:pPr>
        <w:spacing w:after="0" w:line="90" w:lineRule="exact"/>
        <w:rPr>
          <w:sz w:val="20"/>
          <w:szCs w:val="20"/>
          <w:color w:val="auto"/>
        </w:rPr>
      </w:pPr>
    </w:p>
    <w:tbl>
      <w:tblPr>
        <w:tblLayout w:type="fixed"/>
        <w:tblInd w:w="43" w:type="dxa"/>
        <w:tblCellMar>
          <w:top w:w="0" w:type="dxa"/>
          <w:left w:w="0" w:type="dxa"/>
          <w:bottom w:w="0" w:type="dxa"/>
          <w:right w:w="0" w:type="dxa"/>
        </w:tblCellMar>
      </w:tblPr>
      <w:tr>
        <w:trPr>
          <w:trHeight w:val="207"/>
        </w:trPr>
        <w:tc>
          <w:tcPr>
            <w:tcW w:w="840" w:type="dxa"/>
            <w:vAlign w:val="bottom"/>
          </w:tcPr>
          <w:p>
            <w:pPr>
              <w:jc w:val="right"/>
              <w:ind w:right="91"/>
              <w:spacing w:after="0"/>
              <w:rPr>
                <w:sz w:val="20"/>
                <w:szCs w:val="20"/>
                <w:color w:val="auto"/>
              </w:rPr>
            </w:pPr>
            <w:r>
              <w:rPr>
                <w:rFonts w:ascii="Arial" w:cs="Arial" w:eastAsia="Arial" w:hAnsi="Arial"/>
                <w:sz w:val="18"/>
                <w:szCs w:val="18"/>
                <w:color w:val="auto"/>
              </w:rPr>
              <w:t>31.1</w:t>
            </w:r>
          </w:p>
        </w:tc>
        <w:tc>
          <w:tcPr>
            <w:tcW w:w="9120" w:type="dxa"/>
            <w:vAlign w:val="bottom"/>
            <w:gridSpan w:val="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Certification of the Principal Executive Officer, as required by Section 302 of the Sarbanes-Oxley Act of 2002.</w:t>
              </w:r>
            </w:hyperlink>
          </w:p>
        </w:tc>
      </w:tr>
      <w:tr>
        <w:trPr>
          <w:trHeight w:val="299"/>
        </w:trPr>
        <w:tc>
          <w:tcPr>
            <w:tcW w:w="840" w:type="dxa"/>
            <w:vAlign w:val="bottom"/>
          </w:tcPr>
          <w:p>
            <w:pPr>
              <w:jc w:val="right"/>
              <w:ind w:right="91"/>
              <w:spacing w:after="0"/>
              <w:rPr>
                <w:sz w:val="20"/>
                <w:szCs w:val="20"/>
                <w:color w:val="auto"/>
              </w:rPr>
            </w:pPr>
            <w:r>
              <w:rPr>
                <w:rFonts w:ascii="Arial" w:cs="Arial" w:eastAsia="Arial" w:hAnsi="Arial"/>
                <w:sz w:val="18"/>
                <w:szCs w:val="18"/>
                <w:color w:val="auto"/>
              </w:rPr>
              <w:t>31.2</w:t>
            </w:r>
          </w:p>
        </w:tc>
        <w:tc>
          <w:tcPr>
            <w:tcW w:w="7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Certification of the Principal Financial Officer, as required by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299"/>
        </w:trPr>
        <w:tc>
          <w:tcPr>
            <w:tcW w:w="840" w:type="dxa"/>
            <w:vAlign w:val="bottom"/>
          </w:tcPr>
          <w:p>
            <w:pPr>
              <w:jc w:val="right"/>
              <w:ind w:right="91"/>
              <w:spacing w:after="0"/>
              <w:rPr>
                <w:sz w:val="20"/>
                <w:szCs w:val="20"/>
                <w:color w:val="auto"/>
              </w:rPr>
            </w:pPr>
            <w:r>
              <w:rPr>
                <w:rFonts w:ascii="Arial" w:cs="Arial" w:eastAsia="Arial" w:hAnsi="Arial"/>
                <w:sz w:val="18"/>
                <w:szCs w:val="18"/>
                <w:color w:val="auto"/>
              </w:rPr>
              <w:t>32.1</w:t>
            </w:r>
          </w:p>
        </w:tc>
        <w:tc>
          <w:tcPr>
            <w:tcW w:w="9120" w:type="dxa"/>
            <w:vAlign w:val="bottom"/>
            <w:gridSpan w:val="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Certification as required by Section 906 of the Sarbanes-Oxley Act of 2002.</w:t>
              </w:r>
            </w:hyperlink>
          </w:p>
        </w:tc>
      </w:tr>
      <w:tr>
        <w:trPr>
          <w:trHeight w:val="20"/>
        </w:trPr>
        <w:tc>
          <w:tcPr>
            <w:tcW w:w="840" w:type="dxa"/>
            <w:vAlign w:val="bottom"/>
          </w:tcPr>
          <w:p>
            <w:pPr>
              <w:spacing w:after="0" w:line="20" w:lineRule="exact"/>
              <w:rPr>
                <w:sz w:val="1"/>
                <w:szCs w:val="1"/>
                <w:color w:val="auto"/>
              </w:rPr>
            </w:pPr>
          </w:p>
        </w:tc>
        <w:tc>
          <w:tcPr>
            <w:tcW w:w="5380" w:type="dxa"/>
            <w:vAlign w:val="bottom"/>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r>
      <w:tr>
        <w:trPr>
          <w:trHeight w:val="326"/>
        </w:trPr>
        <w:tc>
          <w:tcPr>
            <w:tcW w:w="840" w:type="dxa"/>
            <w:vAlign w:val="bottom"/>
          </w:tcPr>
          <w:p>
            <w:pPr>
              <w:jc w:val="right"/>
              <w:ind w:right="91"/>
              <w:spacing w:after="0"/>
              <w:rPr>
                <w:sz w:val="20"/>
                <w:szCs w:val="20"/>
                <w:color w:val="auto"/>
              </w:rPr>
            </w:pPr>
            <w:r>
              <w:rPr>
                <w:rFonts w:ascii="Arial" w:cs="Arial" w:eastAsia="Arial" w:hAnsi="Arial"/>
                <w:sz w:val="18"/>
                <w:szCs w:val="18"/>
                <w:color w:val="auto"/>
                <w:w w:val="98"/>
              </w:rPr>
              <w:t>101.INS</w:t>
            </w:r>
          </w:p>
        </w:tc>
        <w:tc>
          <w:tcPr>
            <w:tcW w:w="9120" w:type="dxa"/>
            <w:vAlign w:val="bottom"/>
            <w:gridSpan w:val="4"/>
          </w:tcPr>
          <w:p>
            <w:pPr>
              <w:spacing w:after="0"/>
              <w:rPr>
                <w:sz w:val="20"/>
                <w:szCs w:val="20"/>
                <w:color w:val="auto"/>
              </w:rPr>
            </w:pPr>
            <w:r>
              <w:rPr>
                <w:rFonts w:ascii="Arial" w:cs="Arial" w:eastAsia="Arial" w:hAnsi="Arial"/>
                <w:sz w:val="18"/>
                <w:szCs w:val="18"/>
                <w:color w:val="auto"/>
                <w:w w:val="88"/>
              </w:rPr>
              <w:t>Inline XBRL Instance Document – the instance document does not appear in the Interactive Data File because its XBRL tags are</w:t>
            </w:r>
          </w:p>
        </w:tc>
      </w:tr>
      <w:tr>
        <w:trPr>
          <w:trHeight w:val="224"/>
        </w:trPr>
        <w:tc>
          <w:tcPr>
            <w:tcW w:w="840" w:type="dxa"/>
            <w:vAlign w:val="bottom"/>
          </w:tcPr>
          <w:p>
            <w:pPr>
              <w:spacing w:after="0"/>
              <w:rPr>
                <w:sz w:val="19"/>
                <w:szCs w:val="19"/>
                <w:color w:val="auto"/>
              </w:rPr>
            </w:pPr>
          </w:p>
        </w:tc>
        <w:tc>
          <w:tcPr>
            <w:tcW w:w="912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9"/>
        </w:trPr>
        <w:tc>
          <w:tcPr>
            <w:tcW w:w="840" w:type="dxa"/>
            <w:vAlign w:val="bottom"/>
          </w:tcPr>
          <w:p>
            <w:pPr>
              <w:jc w:val="right"/>
              <w:ind w:right="91"/>
              <w:spacing w:after="0"/>
              <w:rPr>
                <w:sz w:val="20"/>
                <w:szCs w:val="20"/>
                <w:color w:val="auto"/>
              </w:rPr>
            </w:pPr>
            <w:r>
              <w:rPr>
                <w:rFonts w:ascii="Arial" w:cs="Arial" w:eastAsia="Arial" w:hAnsi="Arial"/>
                <w:sz w:val="18"/>
                <w:szCs w:val="18"/>
                <w:color w:val="auto"/>
                <w:w w:val="87"/>
              </w:rPr>
              <w:t>101.SCH</w:t>
            </w:r>
          </w:p>
        </w:tc>
        <w:tc>
          <w:tcPr>
            <w:tcW w:w="91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9"/>
        </w:trPr>
        <w:tc>
          <w:tcPr>
            <w:tcW w:w="840" w:type="dxa"/>
            <w:vAlign w:val="bottom"/>
          </w:tcPr>
          <w:p>
            <w:pPr>
              <w:jc w:val="right"/>
              <w:ind w:right="91"/>
              <w:spacing w:after="0"/>
              <w:rPr>
                <w:sz w:val="20"/>
                <w:szCs w:val="20"/>
                <w:color w:val="auto"/>
              </w:rPr>
            </w:pPr>
            <w:r>
              <w:rPr>
                <w:rFonts w:ascii="Arial" w:cs="Arial" w:eastAsia="Arial" w:hAnsi="Arial"/>
                <w:sz w:val="18"/>
                <w:szCs w:val="18"/>
                <w:color w:val="auto"/>
                <w:w w:val="91"/>
              </w:rPr>
              <w:t>101.CAL</w:t>
            </w:r>
          </w:p>
        </w:tc>
        <w:tc>
          <w:tcPr>
            <w:tcW w:w="91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9"/>
        </w:trPr>
        <w:tc>
          <w:tcPr>
            <w:tcW w:w="840" w:type="dxa"/>
            <w:vAlign w:val="bottom"/>
          </w:tcPr>
          <w:p>
            <w:pPr>
              <w:jc w:val="right"/>
              <w:ind w:right="91"/>
              <w:spacing w:after="0"/>
              <w:rPr>
                <w:sz w:val="20"/>
                <w:szCs w:val="20"/>
                <w:color w:val="auto"/>
              </w:rPr>
            </w:pPr>
            <w:r>
              <w:rPr>
                <w:rFonts w:ascii="Arial" w:cs="Arial" w:eastAsia="Arial" w:hAnsi="Arial"/>
                <w:sz w:val="18"/>
                <w:szCs w:val="18"/>
                <w:color w:val="auto"/>
                <w:w w:val="92"/>
              </w:rPr>
              <w:t>101.LAB</w:t>
            </w:r>
          </w:p>
        </w:tc>
        <w:tc>
          <w:tcPr>
            <w:tcW w:w="91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9"/>
        </w:trPr>
        <w:tc>
          <w:tcPr>
            <w:tcW w:w="840" w:type="dxa"/>
            <w:vAlign w:val="bottom"/>
          </w:tcPr>
          <w:p>
            <w:pPr>
              <w:jc w:val="right"/>
              <w:ind w:right="91"/>
              <w:spacing w:after="0"/>
              <w:rPr>
                <w:sz w:val="20"/>
                <w:szCs w:val="20"/>
                <w:color w:val="auto"/>
              </w:rPr>
            </w:pPr>
            <w:r>
              <w:rPr>
                <w:rFonts w:ascii="Arial" w:cs="Arial" w:eastAsia="Arial" w:hAnsi="Arial"/>
                <w:sz w:val="18"/>
                <w:szCs w:val="18"/>
                <w:color w:val="auto"/>
                <w:w w:val="88"/>
              </w:rPr>
              <w:t>101.PRE</w:t>
            </w:r>
          </w:p>
        </w:tc>
        <w:tc>
          <w:tcPr>
            <w:tcW w:w="91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9"/>
        </w:trPr>
        <w:tc>
          <w:tcPr>
            <w:tcW w:w="840" w:type="dxa"/>
            <w:vAlign w:val="bottom"/>
          </w:tcPr>
          <w:p>
            <w:pPr>
              <w:jc w:val="right"/>
              <w:ind w:right="91"/>
              <w:spacing w:after="0"/>
              <w:rPr>
                <w:sz w:val="20"/>
                <w:szCs w:val="20"/>
                <w:color w:val="auto"/>
              </w:rPr>
            </w:pPr>
            <w:r>
              <w:rPr>
                <w:rFonts w:ascii="Arial" w:cs="Arial" w:eastAsia="Arial" w:hAnsi="Arial"/>
                <w:sz w:val="18"/>
                <w:szCs w:val="18"/>
                <w:color w:val="auto"/>
                <w:w w:val="90"/>
              </w:rPr>
              <w:t>101.DEF</w:t>
            </w:r>
          </w:p>
        </w:tc>
        <w:tc>
          <w:tcPr>
            <w:tcW w:w="91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95" w:lineRule="exact"/>
        <w:rPr>
          <w:sz w:val="20"/>
          <w:szCs w:val="20"/>
          <w:color w:val="auto"/>
        </w:rPr>
      </w:pPr>
    </w:p>
    <w:p>
      <w:pPr>
        <w:ind w:left="3" w:right="2700" w:firstLine="436"/>
        <w:spacing w:after="0" w:line="554" w:lineRule="auto"/>
        <w:tabs>
          <w:tab w:leader="none" w:pos="8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Incorporated herein by reference to the indicated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-328295</wp:posOffset>
            </wp:positionV>
            <wp:extent cx="15951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1595120" cy="8255"/>
                    </a:xfrm>
                    <a:prstGeom prst="rect">
                      <a:avLst/>
                    </a:prstGeom>
                    <a:noFill/>
                  </pic:spPr>
                </pic:pic>
              </a:graphicData>
            </a:graphic>
          </wp:anchor>
        </w:drawing>
      </w:r>
    </w:p>
    <w:p>
      <w:pPr>
        <w:ind w:left="303" w:hanging="303"/>
        <w:spacing w:after="0"/>
        <w:tabs>
          <w:tab w:leader="none" w:pos="3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2" w:lineRule="exact"/>
        <w:rPr>
          <w:sz w:val="20"/>
          <w:szCs w:val="20"/>
          <w:color w:val="auto"/>
        </w:rPr>
      </w:pPr>
    </w:p>
    <w:p>
      <w:pPr>
        <w:ind w:left="3"/>
        <w:spacing w:after="0"/>
        <w:tabs>
          <w:tab w:leader="none" w:pos="782"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4" w:lineRule="exact"/>
        <w:rPr>
          <w:sz w:val="20"/>
          <w:szCs w:val="20"/>
          <w:color w:val="auto"/>
        </w:rPr>
      </w:pPr>
    </w:p>
    <w:p>
      <w:pPr>
        <w:ind w:left="323"/>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2"/>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638810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03"/>
          </w:cols>
          <w:pgMar w:left="917" w:top="513" w:right="9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160" w:firstLine="319"/>
        <w:spacing w:after="0" w:line="29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Austin, Texas, on January 29, 2020.</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SILICON LABORATORIES INC.</w:t>
      </w:r>
    </w:p>
    <w:p>
      <w:pPr>
        <w:spacing w:after="0" w:line="245"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2080" w:type="dxa"/>
            <w:vAlign w:val="bottom"/>
            <w:gridSpan w:val="2"/>
          </w:tcPr>
          <w:p>
            <w:pPr>
              <w:ind w:left="980"/>
              <w:spacing w:after="0"/>
              <w:rPr>
                <w:sz w:val="20"/>
                <w:szCs w:val="20"/>
                <w:color w:val="auto"/>
              </w:rPr>
            </w:pPr>
            <w:r>
              <w:rPr>
                <w:rFonts w:ascii="Arial" w:cs="Arial" w:eastAsia="Arial" w:hAnsi="Arial"/>
                <w:sz w:val="18"/>
                <w:szCs w:val="18"/>
                <w:color w:val="auto"/>
              </w:rPr>
              <w:t>By:</w:t>
            </w:r>
          </w:p>
        </w:tc>
        <w:tc>
          <w:tcPr>
            <w:tcW w:w="3900" w:type="dxa"/>
            <w:vAlign w:val="bottom"/>
          </w:tcPr>
          <w:p>
            <w:pPr>
              <w:jc w:val="center"/>
              <w:ind w:right="731"/>
              <w:spacing w:after="0"/>
              <w:rPr>
                <w:sz w:val="20"/>
                <w:szCs w:val="20"/>
                <w:color w:val="auto"/>
              </w:rPr>
            </w:pPr>
            <w:r>
              <w:rPr>
                <w:rFonts w:ascii="Arial" w:cs="Arial" w:eastAsia="Arial" w:hAnsi="Arial"/>
                <w:sz w:val="18"/>
                <w:szCs w:val="18"/>
                <w:color w:val="auto"/>
                <w:w w:val="89"/>
              </w:rPr>
              <w:t>/s/ G. Tyson Tuttle</w:t>
            </w:r>
          </w:p>
        </w:tc>
      </w:tr>
      <w:tr>
        <w:trPr>
          <w:trHeight w:val="214"/>
        </w:trPr>
        <w:tc>
          <w:tcPr>
            <w:tcW w:w="1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tcPr>
          <w:p>
            <w:pPr>
              <w:jc w:val="center"/>
              <w:ind w:right="731"/>
              <w:spacing w:after="0"/>
              <w:rPr>
                <w:sz w:val="20"/>
                <w:szCs w:val="20"/>
                <w:color w:val="auto"/>
              </w:rPr>
            </w:pPr>
            <w:r>
              <w:rPr>
                <w:rFonts w:ascii="Arial" w:cs="Arial" w:eastAsia="Arial" w:hAnsi="Arial"/>
                <w:sz w:val="18"/>
                <w:szCs w:val="18"/>
                <w:color w:val="auto"/>
                <w:w w:val="90"/>
              </w:rPr>
              <w:t>G. Tyson Tuttle</w:t>
            </w:r>
          </w:p>
        </w:tc>
      </w:tr>
      <w:tr>
        <w:trPr>
          <w:trHeight w:val="224"/>
        </w:trPr>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900" w:type="dxa"/>
            <w:vAlign w:val="bottom"/>
          </w:tcPr>
          <w:p>
            <w:pPr>
              <w:jc w:val="center"/>
              <w:ind w:right="731"/>
              <w:spacing w:after="0"/>
              <w:rPr>
                <w:sz w:val="20"/>
                <w:szCs w:val="20"/>
                <w:color w:val="auto"/>
              </w:rPr>
            </w:pPr>
            <w:r>
              <w:rPr>
                <w:rFonts w:ascii="Arial" w:cs="Arial" w:eastAsia="Arial" w:hAnsi="Arial"/>
                <w:sz w:val="18"/>
                <w:szCs w:val="18"/>
                <w:i w:val="1"/>
                <w:iCs w:val="1"/>
                <w:color w:val="auto"/>
                <w:w w:val="89"/>
              </w:rPr>
              <w:t>President and Chief Executive Officer</w:t>
            </w:r>
          </w:p>
        </w:tc>
      </w:tr>
      <w:tr>
        <w:trPr>
          <w:trHeight w:val="465"/>
        </w:trPr>
        <w:tc>
          <w:tcPr>
            <w:tcW w:w="208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3900" w:type="dxa"/>
            <w:vAlign w:val="bottom"/>
          </w:tcPr>
          <w:p>
            <w:pPr>
              <w:spacing w:after="0"/>
              <w:rPr>
                <w:sz w:val="24"/>
                <w:szCs w:val="24"/>
                <w:color w:val="auto"/>
              </w:rPr>
            </w:pPr>
          </w:p>
        </w:tc>
      </w:tr>
    </w:tbl>
    <w:p>
      <w:pPr>
        <w:spacing w:after="0" w:line="201" w:lineRule="exact"/>
        <w:rPr>
          <w:sz w:val="20"/>
          <w:szCs w:val="20"/>
          <w:color w:val="auto"/>
        </w:rPr>
      </w:pPr>
    </w:p>
    <w:p>
      <w:pPr>
        <w:ind w:firstLine="319"/>
        <w:spacing w:after="0" w:line="284"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G. Tyson Tuttle and John C. Hollister and each of them, acting individually, as his or her attorney-in-fact, each with full power of substitution and resubstitution, for him or her and in his or her name, place and stead, in any and all capacities, to sign any and all amendments to this annual report on Form 10-K and other documents in connection herewith and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herewith and therewith and about the premises, as fully to all intents and purposes as he or she might or could do in person, hereby ratifying and confirming all that said attorneys-in-fact and agents, or any of them, or their or his substitute or substitutes, may lawfully do or cause to be done by virtue hereof.</w:t>
      </w:r>
    </w:p>
    <w:p>
      <w:pPr>
        <w:spacing w:after="0" w:line="172" w:lineRule="exact"/>
        <w:rPr>
          <w:sz w:val="20"/>
          <w:szCs w:val="20"/>
          <w:color w:val="auto"/>
        </w:rPr>
      </w:pPr>
    </w:p>
    <w:p>
      <w:pPr>
        <w:ind w:right="420" w:firstLine="319"/>
        <w:spacing w:after="0" w:line="26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80" w:type="dxa"/>
            <w:vAlign w:val="bottom"/>
          </w:tcPr>
          <w:p>
            <w:pPr>
              <w:spacing w:after="0"/>
              <w:rPr>
                <w:sz w:val="20"/>
                <w:szCs w:val="20"/>
                <w:color w:val="auto"/>
              </w:rPr>
            </w:pPr>
          </w:p>
        </w:tc>
        <w:tc>
          <w:tcPr>
            <w:tcW w:w="528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59"/>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Navdeep S. Sooch</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Chairman of the Board</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92"/>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87"/>
              </w:rPr>
              <w:t>Navdeep S. Sooch</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 Tyson Tuttle</w:t>
            </w:r>
          </w:p>
        </w:tc>
        <w:tc>
          <w:tcPr>
            <w:tcW w:w="582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0"/>
              </w:rPr>
              <w:t>G. Tyson Tuttle</w:t>
            </w:r>
          </w:p>
        </w:tc>
        <w:tc>
          <w:tcPr>
            <w:tcW w:w="5820" w:type="dxa"/>
            <w:vAlign w:val="bottom"/>
            <w:gridSpan w:val="3"/>
            <w:vMerge w:val="restart"/>
          </w:tcPr>
          <w:p>
            <w:pPr>
              <w:ind w:left="260"/>
              <w:spacing w:after="0" w:line="204" w:lineRule="exact"/>
              <w:rPr>
                <w:sz w:val="20"/>
                <w:szCs w:val="20"/>
                <w:color w:val="auto"/>
              </w:rPr>
            </w:pPr>
            <w:r>
              <w:rPr>
                <w:rFonts w:ascii="Arial" w:cs="Arial" w:eastAsia="Arial" w:hAnsi="Arial"/>
                <w:sz w:val="18"/>
                <w:szCs w:val="18"/>
                <w:color w:val="auto"/>
              </w:rPr>
              <w:t>(Principal Executive Officer)</w:t>
            </w: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582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C. Hollister</w:t>
            </w:r>
          </w:p>
        </w:tc>
        <w:tc>
          <w:tcPr>
            <w:tcW w:w="5820" w:type="dxa"/>
            <w:vAlign w:val="bottom"/>
            <w:gridSpan w:val="3"/>
          </w:tcPr>
          <w:p>
            <w:pPr>
              <w:ind w:left="26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0"/>
              </w:rPr>
              <w:t>John C. Hollister</w:t>
            </w:r>
          </w:p>
        </w:tc>
        <w:tc>
          <w:tcPr>
            <w:tcW w:w="5820" w:type="dxa"/>
            <w:vAlign w:val="bottom"/>
            <w:gridSpan w:val="3"/>
            <w:vMerge w:val="restart"/>
          </w:tcPr>
          <w:p>
            <w:pPr>
              <w:ind w:left="260"/>
              <w:spacing w:after="0" w:line="204" w:lineRule="exact"/>
              <w:rPr>
                <w:sz w:val="20"/>
                <w:szCs w:val="20"/>
                <w:color w:val="auto"/>
              </w:rPr>
            </w:pPr>
            <w:r>
              <w:rPr>
                <w:rFonts w:ascii="Arial" w:cs="Arial" w:eastAsia="Arial" w:hAnsi="Arial"/>
                <w:sz w:val="18"/>
                <w:szCs w:val="18"/>
                <w:color w:val="auto"/>
              </w:rPr>
              <w:t>(Principal Financial Officer and Principal Accounting Officer)</w:t>
            </w: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582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G. Bock</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G. Bock</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Jack R. Lazar</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87"/>
              </w:rPr>
              <w:t>Jack R. Lazar</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4"/>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Gregg Lowe</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92"/>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89"/>
              </w:rPr>
              <w:t>Gregg Lowe</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Nina Richardson</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0"/>
              </w:rPr>
              <w:t>Nina Richardson</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Sumit Sadana</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84"/>
              </w:rPr>
              <w:t>Sumit Sadana</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William P. Wood</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0"/>
              </w:rPr>
              <w:t>William P. Wood</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7"/>
        </w:trPr>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Christy Wyatt</w:t>
            </w:r>
          </w:p>
        </w:tc>
        <w:tc>
          <w:tcPr>
            <w:tcW w:w="582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6"/>
              </w:rPr>
              <w:t>January 29, 2020</w:t>
            </w:r>
          </w:p>
        </w:tc>
        <w:tc>
          <w:tcPr>
            <w:tcW w:w="0" w:type="dxa"/>
            <w:vAlign w:val="bottom"/>
          </w:tcPr>
          <w:p>
            <w:pPr>
              <w:spacing w:after="0"/>
              <w:rPr>
                <w:sz w:val="1"/>
                <w:szCs w:val="1"/>
                <w:color w:val="auto"/>
              </w:rPr>
            </w:pPr>
          </w:p>
        </w:tc>
      </w:tr>
      <w:tr>
        <w:trPr>
          <w:trHeight w:val="8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3"/>
              </w:rPr>
              <w:t>Christy Wyatt</w:t>
            </w:r>
          </w:p>
        </w:tc>
        <w:tc>
          <w:tcPr>
            <w:tcW w:w="5820" w:type="dxa"/>
            <w:vAlign w:val="bottom"/>
            <w:gridSpan w:val="3"/>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920" w:top="513" w:right="899" w:bottom="1440" w:gutter="0" w:footer="0" w:header="0"/>
        </w:sect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Silicon Laboratories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4" w:lineRule="exact"/>
        <w:rPr>
          <w:sz w:val="20"/>
          <w:szCs w:val="20"/>
          <w:color w:val="auto"/>
        </w:rPr>
      </w:pPr>
    </w:p>
    <w:p>
      <w:pPr>
        <w:ind w:right="40" w:firstLine="319"/>
        <w:spacing w:after="0" w:line="272" w:lineRule="auto"/>
        <w:rPr>
          <w:sz w:val="20"/>
          <w:szCs w:val="20"/>
          <w:color w:val="auto"/>
        </w:rPr>
      </w:pPr>
      <w:r>
        <w:rPr>
          <w:rFonts w:ascii="Arial" w:cs="Arial" w:eastAsia="Arial" w:hAnsi="Arial"/>
          <w:sz w:val="17"/>
          <w:szCs w:val="17"/>
          <w:color w:val="auto"/>
        </w:rPr>
        <w:t>We have audited Silicon Laboratories Inc.’s internal control over financial reporting as of December 28, 2019, based on criteria established in Internal Control— Integrated Framework issued by the Committee of Sponsoring Organizations of the Treadway Commission (2013 framework) (the COSO criteria). In our opinion, Silicon Laboratories Inc. (the Company) maintained, in all material respects, effective internal control over financial reporting as of December 28, 2019, based on the COSO criteria.</w:t>
      </w:r>
    </w:p>
    <w:p>
      <w:pPr>
        <w:spacing w:after="0" w:line="177" w:lineRule="exact"/>
        <w:rPr>
          <w:sz w:val="20"/>
          <w:szCs w:val="20"/>
          <w:color w:val="auto"/>
        </w:rPr>
      </w:pPr>
    </w:p>
    <w:p>
      <w:pPr>
        <w:ind w:right="140" w:firstLine="319"/>
        <w:spacing w:after="0" w:line="29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Silicon Laboratories Inc. as of December 28, 2019 and December 29, 2018, the related consolidated statements of income, comprehensive income, stockholders’ equity and cash flows for each of the three years in the period ended December 28, 2019, and the related notes and our report dated January 29, 2020 expressed an unqualified opinion thereon.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right="80" w:firstLine="319"/>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ind w:right="180" w:firstLine="319"/>
        <w:spacing w:after="0" w:line="32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3" w:lineRule="exact"/>
        <w:rPr>
          <w:sz w:val="20"/>
          <w:szCs w:val="20"/>
          <w:color w:val="auto"/>
        </w:rPr>
      </w:pPr>
    </w:p>
    <w:p>
      <w:pPr>
        <w:ind w:right="100" w:firstLine="319"/>
        <w:spacing w:after="0" w:line="303"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4" w:lineRule="exact"/>
        <w:rPr>
          <w:sz w:val="20"/>
          <w:szCs w:val="20"/>
          <w:color w:val="auto"/>
        </w:rPr>
      </w:pPr>
    </w:p>
    <w:p>
      <w:pPr>
        <w:ind w:right="40" w:firstLine="319"/>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January 29, 2020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of Silicon Laboratories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8" w:lineRule="exact"/>
        <w:rPr>
          <w:sz w:val="20"/>
          <w:szCs w:val="20"/>
          <w:color w:val="auto"/>
        </w:rPr>
      </w:pPr>
    </w:p>
    <w:p>
      <w:pPr>
        <w:ind w:firstLine="319"/>
        <w:spacing w:after="0" w:line="268" w:lineRule="auto"/>
        <w:rPr>
          <w:sz w:val="20"/>
          <w:szCs w:val="20"/>
          <w:color w:val="auto"/>
        </w:rPr>
      </w:pPr>
      <w:r>
        <w:rPr>
          <w:rFonts w:ascii="Arial" w:cs="Arial" w:eastAsia="Arial" w:hAnsi="Arial"/>
          <w:sz w:val="17"/>
          <w:szCs w:val="17"/>
          <w:color w:val="auto"/>
        </w:rPr>
        <w:t>We have audited the accompanying consolidated balance sheets of Silicon Laboratories Inc. (the Company) as of December 28, 2019 and December 29, 2018, the related consolidated statements of income, comprehensive income, stockholders' equity and cash flows for each of the three years in the period ended December 28, 2019, and the related notes (collectively referred to as the “consolidated financial statements”). In our opinion, the consolidated financial statements present fairly, in all material respects, the financial position of the Company at December 28, 2019 and December 29, 2018, and the results of its operations and its cash flows for each of the three years in the period ended December 28, 2019, in conformity with U.S. generally accepted accounting principles.</w:t>
      </w:r>
    </w:p>
    <w:p>
      <w:pPr>
        <w:spacing w:after="0" w:line="179" w:lineRule="exact"/>
        <w:rPr>
          <w:sz w:val="20"/>
          <w:szCs w:val="20"/>
          <w:color w:val="auto"/>
        </w:rPr>
      </w:pPr>
    </w:p>
    <w:p>
      <w:pPr>
        <w:ind w:right="100" w:firstLine="319"/>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28, 2019, based on criteria established in Internal Control-Integrated Framework issued by the Committee of Sponsoring Organizations of the Treadway Commission (2013 framework) and our report dated January 29, 2020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2014-09 and ASU 2016-02</w:t>
      </w:r>
    </w:p>
    <w:p>
      <w:pPr>
        <w:spacing w:after="0" w:line="118" w:lineRule="exact"/>
        <w:rPr>
          <w:sz w:val="20"/>
          <w:szCs w:val="20"/>
          <w:color w:val="auto"/>
        </w:rPr>
      </w:pPr>
    </w:p>
    <w:p>
      <w:pPr>
        <w:ind w:firstLine="319"/>
        <w:spacing w:after="0" w:line="278" w:lineRule="auto"/>
        <w:rPr>
          <w:sz w:val="20"/>
          <w:szCs w:val="20"/>
          <w:color w:val="auto"/>
        </w:rPr>
      </w:pPr>
      <w:r>
        <w:rPr>
          <w:rFonts w:ascii="Arial" w:cs="Arial" w:eastAsia="Arial" w:hAnsi="Arial"/>
          <w:sz w:val="17"/>
          <w:szCs w:val="17"/>
          <w:color w:val="auto"/>
        </w:rPr>
        <w:t xml:space="preserve">As discussed in Note 2 to the consolidated financial statements, the Company changed its method of accounting for revenue from sales to distributors in 2018 due to the adoption of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Company changed its method of accounting for leases in 2019 due to the adoption of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8" w:lineRule="exact"/>
        <w:rPr>
          <w:sz w:val="20"/>
          <w:szCs w:val="20"/>
          <w:color w:val="auto"/>
        </w:rPr>
      </w:pPr>
    </w:p>
    <w:p>
      <w:pPr>
        <w:ind w:right="200" w:firstLine="319"/>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60" w:firstLine="319"/>
        <w:spacing w:after="0" w:line="26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18" w:lineRule="exact"/>
        <w:rPr>
          <w:sz w:val="20"/>
          <w:szCs w:val="20"/>
          <w:color w:val="auto"/>
        </w:rPr>
      </w:pPr>
    </w:p>
    <w:p>
      <w:pPr>
        <w:ind w:right="140" w:firstLine="319"/>
        <w:spacing w:after="0" w:line="290"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7"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Recognition of Variable Consideration</w:t>
      </w:r>
    </w:p>
    <w:p>
      <w:pPr>
        <w:spacing w:after="0" w:line="112"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i w:val="1"/>
          <w:iCs w:val="1"/>
          <w:color w:val="auto"/>
        </w:rPr>
        <w:t>Description of</w:t>
      </w:r>
      <w:r>
        <w:rPr>
          <w:sz w:val="20"/>
          <w:szCs w:val="20"/>
          <w:color w:val="auto"/>
        </w:rPr>
        <w:tab/>
      </w:r>
      <w:r>
        <w:rPr>
          <w:rFonts w:ascii="Arial" w:cs="Arial" w:eastAsia="Arial" w:hAnsi="Arial"/>
          <w:sz w:val="16"/>
          <w:szCs w:val="16"/>
          <w:color w:val="auto"/>
        </w:rPr>
        <w:t>At December 28, 2019, the Company’s returns liability, which is included in the Deferred revenues and returns liability</w:t>
      </w:r>
    </w:p>
    <w:p>
      <w:pPr>
        <w:spacing w:after="0" w:line="17" w:lineRule="exact"/>
        <w:rPr>
          <w:sz w:val="20"/>
          <w:szCs w:val="20"/>
          <w:color w:val="auto"/>
        </w:rPr>
      </w:pPr>
    </w:p>
    <w:p>
      <w:pPr>
        <w:ind w:left="1440" w:hanging="1448"/>
        <w:spacing w:after="0" w:line="266" w:lineRule="auto"/>
        <w:tabs>
          <w:tab w:leader="none" w:pos="1420" w:val="left"/>
        </w:tabs>
        <w:rPr>
          <w:sz w:val="20"/>
          <w:szCs w:val="20"/>
          <w:color w:val="auto"/>
        </w:rPr>
      </w:pPr>
      <w:r>
        <w:rPr>
          <w:rFonts w:ascii="Arial" w:cs="Arial" w:eastAsia="Arial" w:hAnsi="Arial"/>
          <w:sz w:val="18"/>
          <w:szCs w:val="18"/>
          <w:i w:val="1"/>
          <w:iCs w:val="1"/>
          <w:color w:val="auto"/>
        </w:rPr>
        <w:t>the Matter</w:t>
      </w:r>
      <w:r>
        <w:rPr>
          <w:sz w:val="20"/>
          <w:szCs w:val="20"/>
          <w:color w:val="auto"/>
        </w:rPr>
        <w:tab/>
      </w:r>
      <w:r>
        <w:rPr>
          <w:rFonts w:ascii="Arial" w:cs="Arial" w:eastAsia="Arial" w:hAnsi="Arial"/>
          <w:sz w:val="17"/>
          <w:szCs w:val="17"/>
          <w:color w:val="auto"/>
        </w:rPr>
        <w:t>in the consolidated balance sheet, was $19.3 million. As discussed in Note 2 of the consolidated financial statements, when recording revenue for its contracts with customers the Company estimates variable consideration at the most likely amount to which it expects to be entitled. Variable consideration that does not meet revenue recognition criteria is deferred and a returns liability amount is recorded. The variable consideration estimate considers both the likelihood of a return and the amount of a potential price concession.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8800" w:type="dxa"/>
            <w:vAlign w:val="bottom"/>
          </w:tcPr>
          <w:p>
            <w:pPr>
              <w:spacing w:after="0"/>
              <w:rPr>
                <w:sz w:val="17"/>
                <w:szCs w:val="17"/>
                <w:color w:val="auto"/>
              </w:rPr>
            </w:pPr>
          </w:p>
        </w:tc>
      </w:tr>
      <w:tr>
        <w:trPr>
          <w:trHeight w:val="792"/>
        </w:trPr>
        <w:tc>
          <w:tcPr>
            <w:tcW w:w="1260" w:type="dxa"/>
            <w:vAlign w:val="bottom"/>
          </w:tcPr>
          <w:p>
            <w:pPr>
              <w:spacing w:after="0"/>
              <w:rPr>
                <w:sz w:val="24"/>
                <w:szCs w:val="24"/>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4"/>
              </w:rPr>
              <w:t>Auditing management’s estimate of the returns liability was judgmental because the calculation involves subjective</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87"/>
              </w:rPr>
              <w:t>management assumptions about estimates of expected price concessions and product returns. For example, the estimated</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0"/>
              </w:rPr>
              <w:t>variable consideration included in the transaction price reflects management’s evaluation of contractual terms, historical</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89"/>
              </w:rPr>
              <w:t>experience and assumptions about future economic conditions. Changes in those assumptions can have a material effect</w:t>
            </w:r>
          </w:p>
        </w:tc>
      </w:tr>
      <w:tr>
        <w:trPr>
          <w:trHeight w:val="224"/>
        </w:trPr>
        <w:tc>
          <w:tcPr>
            <w:tcW w:w="126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on the amount of variable consideration recognized.</w:t>
            </w:r>
          </w:p>
        </w:tc>
      </w:tr>
      <w:tr>
        <w:trPr>
          <w:trHeight w:val="414"/>
        </w:trPr>
        <w:tc>
          <w:tcPr>
            <w:tcW w:w="126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8800" w:type="dxa"/>
            <w:vAlign w:val="bottom"/>
          </w:tcPr>
          <w:p>
            <w:pPr>
              <w:ind w:left="180"/>
              <w:spacing w:after="0"/>
              <w:rPr>
                <w:sz w:val="20"/>
                <w:szCs w:val="20"/>
                <w:color w:val="auto"/>
              </w:rPr>
            </w:pPr>
            <w:r>
              <w:rPr>
                <w:rFonts w:ascii="Arial" w:cs="Arial" w:eastAsia="Arial" w:hAnsi="Arial"/>
                <w:sz w:val="18"/>
                <w:szCs w:val="18"/>
                <w:color w:val="auto"/>
                <w:w w:val="96"/>
              </w:rPr>
              <w:t>We obtained an understanding, evaluated the design and tested the operating effectiveness of controls over the</w:t>
            </w:r>
          </w:p>
        </w:tc>
      </w:tr>
      <w:tr>
        <w:trPr>
          <w:trHeight w:val="213"/>
        </w:trPr>
        <w:tc>
          <w:tcPr>
            <w:tcW w:w="1260" w:type="dxa"/>
            <w:vAlign w:val="bottom"/>
          </w:tcPr>
          <w:p>
            <w:pPr>
              <w:spacing w:after="0"/>
              <w:rPr>
                <w:sz w:val="20"/>
                <w:szCs w:val="20"/>
                <w:color w:val="auto"/>
              </w:rPr>
            </w:pPr>
            <w:r>
              <w:rPr>
                <w:rFonts w:ascii="Arial" w:cs="Arial" w:eastAsia="Arial" w:hAnsi="Arial"/>
                <w:sz w:val="18"/>
                <w:szCs w:val="18"/>
                <w:i w:val="1"/>
                <w:iCs w:val="1"/>
                <w:color w:val="auto"/>
              </w:rPr>
              <w:t>Addressed the</w:t>
            </w:r>
          </w:p>
        </w:tc>
        <w:tc>
          <w:tcPr>
            <w:tcW w:w="8800" w:type="dxa"/>
            <w:vAlign w:val="bottom"/>
          </w:tcPr>
          <w:p>
            <w:pPr>
              <w:ind w:left="180"/>
              <w:spacing w:after="0"/>
              <w:rPr>
                <w:sz w:val="20"/>
                <w:szCs w:val="20"/>
                <w:color w:val="auto"/>
              </w:rPr>
            </w:pPr>
            <w:r>
              <w:rPr>
                <w:rFonts w:ascii="Arial" w:cs="Arial" w:eastAsia="Arial" w:hAnsi="Arial"/>
                <w:sz w:val="18"/>
                <w:szCs w:val="18"/>
                <w:color w:val="auto"/>
                <w:w w:val="88"/>
              </w:rPr>
              <w:t>measurement and valuation of the variable consideration recognized as revenue and the returns liability. For example, we</w:t>
            </w:r>
          </w:p>
        </w:tc>
      </w:tr>
      <w:tr>
        <w:trPr>
          <w:trHeight w:val="213"/>
        </w:trPr>
        <w:tc>
          <w:tcPr>
            <w:tcW w:w="126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8800" w:type="dxa"/>
            <w:vAlign w:val="bottom"/>
          </w:tcPr>
          <w:p>
            <w:pPr>
              <w:ind w:left="180"/>
              <w:spacing w:after="0"/>
              <w:rPr>
                <w:sz w:val="20"/>
                <w:szCs w:val="20"/>
                <w:color w:val="auto"/>
              </w:rPr>
            </w:pPr>
            <w:r>
              <w:rPr>
                <w:rFonts w:ascii="Arial" w:cs="Arial" w:eastAsia="Arial" w:hAnsi="Arial"/>
                <w:sz w:val="18"/>
                <w:szCs w:val="18"/>
                <w:color w:val="auto"/>
                <w:w w:val="91"/>
              </w:rPr>
              <w:t>tested controls over management’s review of the variable consideration methodology, the significant assumptions, and</w:t>
            </w:r>
          </w:p>
        </w:tc>
      </w:tr>
      <w:tr>
        <w:trPr>
          <w:trHeight w:val="224"/>
        </w:trPr>
        <w:tc>
          <w:tcPr>
            <w:tcW w:w="126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8800" w:type="dxa"/>
            <w:vAlign w:val="bottom"/>
          </w:tcPr>
          <w:p>
            <w:pPr>
              <w:ind w:left="180"/>
              <w:spacing w:after="0"/>
              <w:rPr>
                <w:sz w:val="20"/>
                <w:szCs w:val="20"/>
                <w:color w:val="auto"/>
              </w:rPr>
            </w:pPr>
            <w:r>
              <w:rPr>
                <w:rFonts w:ascii="Arial" w:cs="Arial" w:eastAsia="Arial" w:hAnsi="Arial"/>
                <w:sz w:val="18"/>
                <w:szCs w:val="18"/>
                <w:color w:val="auto"/>
              </w:rPr>
              <w:t>the historical data utilized in the estimate for assumed product returns and expected price concessions.</w:t>
            </w:r>
          </w:p>
        </w:tc>
      </w:tr>
      <w:tr>
        <w:trPr>
          <w:trHeight w:val="374"/>
        </w:trPr>
        <w:tc>
          <w:tcPr>
            <w:tcW w:w="1260" w:type="dxa"/>
            <w:vAlign w:val="bottom"/>
          </w:tcPr>
          <w:p>
            <w:pPr>
              <w:spacing w:after="0"/>
              <w:rPr>
                <w:sz w:val="24"/>
                <w:szCs w:val="24"/>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2"/>
              </w:rPr>
              <w:t>To test the variable consideration recognized as revenue and the returns liability, we performed audit procedures that</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4"/>
              </w:rPr>
              <w:t>included, among others, an evaluation of the Company’s methodology and significant assumptions, and tested the</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3"/>
              </w:rPr>
              <w:t>completeness and accuracy of the historical data utilized in the estimate. In our assessment of the methodology, we</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0"/>
              </w:rPr>
              <w:t>considered changes in the business and changes to specific distributor contracts. We evaluated significant assumptions</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88"/>
              </w:rPr>
              <w:t>used by comparison to current trends and recent transactions. We also evaluated the accuracy of management’s assumed</w:t>
            </w:r>
          </w:p>
        </w:tc>
      </w:tr>
      <w:tr>
        <w:trPr>
          <w:trHeight w:val="224"/>
        </w:trPr>
        <w:tc>
          <w:tcPr>
            <w:tcW w:w="126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product returns and expected price concession at prior periods by comparing to subsequent actual activity.</w:t>
            </w:r>
          </w:p>
        </w:tc>
      </w:tr>
      <w:tr>
        <w:trPr>
          <w:trHeight w:val="425"/>
        </w:trPr>
        <w:tc>
          <w:tcPr>
            <w:tcW w:w="1260" w:type="dxa"/>
            <w:vAlign w:val="bottom"/>
          </w:tcPr>
          <w:p>
            <w:pPr>
              <w:spacing w:after="0"/>
              <w:rPr>
                <w:sz w:val="24"/>
                <w:szCs w:val="24"/>
                <w:color w:val="auto"/>
              </w:rPr>
            </w:pPr>
          </w:p>
        </w:tc>
        <w:tc>
          <w:tcPr>
            <w:tcW w:w="88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Uncertain Tax Positions</w:t>
            </w:r>
          </w:p>
        </w:tc>
      </w:tr>
      <w:tr>
        <w:trPr>
          <w:trHeight w:val="308"/>
        </w:trPr>
        <w:tc>
          <w:tcPr>
            <w:tcW w:w="1260" w:type="dxa"/>
            <w:vAlign w:val="bottom"/>
          </w:tcPr>
          <w:p>
            <w:pPr>
              <w:spacing w:after="0"/>
              <w:rPr>
                <w:sz w:val="20"/>
                <w:szCs w:val="20"/>
                <w:color w:val="auto"/>
              </w:rPr>
            </w:pPr>
            <w:r>
              <w:rPr>
                <w:rFonts w:ascii="Arial" w:cs="Arial" w:eastAsia="Arial" w:hAnsi="Arial"/>
                <w:sz w:val="18"/>
                <w:szCs w:val="18"/>
                <w:i w:val="1"/>
                <w:iCs w:val="1"/>
                <w:color w:val="auto"/>
              </w:rPr>
              <w:t>Description of</w:t>
            </w:r>
          </w:p>
        </w:tc>
        <w:tc>
          <w:tcPr>
            <w:tcW w:w="8800" w:type="dxa"/>
            <w:vAlign w:val="bottom"/>
          </w:tcPr>
          <w:p>
            <w:pPr>
              <w:ind w:left="180"/>
              <w:spacing w:after="0"/>
              <w:rPr>
                <w:sz w:val="20"/>
                <w:szCs w:val="20"/>
                <w:color w:val="auto"/>
              </w:rPr>
            </w:pPr>
            <w:r>
              <w:rPr>
                <w:rFonts w:ascii="Arial" w:cs="Arial" w:eastAsia="Arial" w:hAnsi="Arial"/>
                <w:sz w:val="18"/>
                <w:szCs w:val="18"/>
                <w:color w:val="auto"/>
                <w:w w:val="89"/>
              </w:rPr>
              <w:t>As discussed in Note 2 of the consolidated financial statements, uncertain tax positions must meet a more-likely-than-not</w:t>
            </w:r>
          </w:p>
        </w:tc>
      </w:tr>
      <w:tr>
        <w:trPr>
          <w:trHeight w:val="213"/>
        </w:trPr>
        <w:tc>
          <w:tcPr>
            <w:tcW w:w="1260" w:type="dxa"/>
            <w:vAlign w:val="bottom"/>
          </w:tcPr>
          <w:p>
            <w:pPr>
              <w:spacing w:after="0"/>
              <w:rPr>
                <w:sz w:val="20"/>
                <w:szCs w:val="20"/>
                <w:color w:val="auto"/>
              </w:rPr>
            </w:pPr>
            <w:r>
              <w:rPr>
                <w:rFonts w:ascii="Arial" w:cs="Arial" w:eastAsia="Arial" w:hAnsi="Arial"/>
                <w:sz w:val="18"/>
                <w:szCs w:val="18"/>
                <w:i w:val="1"/>
                <w:iCs w:val="1"/>
                <w:color w:val="auto"/>
              </w:rPr>
              <w:t>the Matter</w:t>
            </w:r>
          </w:p>
        </w:tc>
        <w:tc>
          <w:tcPr>
            <w:tcW w:w="8800" w:type="dxa"/>
            <w:vAlign w:val="bottom"/>
          </w:tcPr>
          <w:p>
            <w:pPr>
              <w:ind w:left="180"/>
              <w:spacing w:after="0"/>
              <w:rPr>
                <w:sz w:val="20"/>
                <w:szCs w:val="20"/>
                <w:color w:val="auto"/>
              </w:rPr>
            </w:pPr>
            <w:r>
              <w:rPr>
                <w:rFonts w:ascii="Arial" w:cs="Arial" w:eastAsia="Arial" w:hAnsi="Arial"/>
                <w:sz w:val="18"/>
                <w:szCs w:val="18"/>
                <w:color w:val="auto"/>
                <w:w w:val="87"/>
              </w:rPr>
              <w:t>threshold to be recognized in the consolidated financial statements and the tax benefits recognized are measured based on</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89"/>
              </w:rPr>
              <w:t>the largest benefit that has a greater than 50% likelihood of being realized upon final settlement. The Company is a party</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0"/>
              </w:rPr>
              <w:t>to many transactions in the ordinary course of business where the ultimate tax outcome is uncertain. To account for this</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2"/>
              </w:rPr>
              <w:t>uncertainty, the Company uses significant judgment in determining whether a tax position is more likely than not to be</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7"/>
              </w:rPr>
              <w:t>sustained and measuring the amount of tax benefit that qualifies for recognition. As described in Note 17 of the</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89"/>
              </w:rPr>
              <w:t>consolidated financial statements, at December 28, 2019 the Company had gross unrecognized tax benefits, inclusive of</w:t>
            </w:r>
          </w:p>
        </w:tc>
      </w:tr>
      <w:tr>
        <w:trPr>
          <w:trHeight w:val="224"/>
        </w:trPr>
        <w:tc>
          <w:tcPr>
            <w:tcW w:w="126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interest, of $2.4 million.</w:t>
            </w:r>
          </w:p>
        </w:tc>
      </w:tr>
      <w:tr>
        <w:trPr>
          <w:trHeight w:val="374"/>
        </w:trPr>
        <w:tc>
          <w:tcPr>
            <w:tcW w:w="1260" w:type="dxa"/>
            <w:vAlign w:val="bottom"/>
          </w:tcPr>
          <w:p>
            <w:pPr>
              <w:spacing w:after="0"/>
              <w:rPr>
                <w:sz w:val="24"/>
                <w:szCs w:val="24"/>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5"/>
              </w:rPr>
              <w:t>Auditing management’s analysis of the uncertainties in its tax positions was complex and judgmental because the</w:t>
            </w:r>
          </w:p>
        </w:tc>
      </w:tr>
      <w:tr>
        <w:trPr>
          <w:trHeight w:val="224"/>
        </w:trPr>
        <w:tc>
          <w:tcPr>
            <w:tcW w:w="126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evaluation and measurement of each tax position is based on interpretations of tax laws and legal rulings.</w:t>
            </w:r>
          </w:p>
        </w:tc>
      </w:tr>
      <w:tr>
        <w:trPr>
          <w:trHeight w:val="414"/>
        </w:trPr>
        <w:tc>
          <w:tcPr>
            <w:tcW w:w="126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8800" w:type="dxa"/>
            <w:vAlign w:val="bottom"/>
          </w:tcPr>
          <w:p>
            <w:pPr>
              <w:ind w:left="180"/>
              <w:spacing w:after="0"/>
              <w:rPr>
                <w:sz w:val="20"/>
                <w:szCs w:val="20"/>
                <w:color w:val="auto"/>
              </w:rPr>
            </w:pPr>
            <w:r>
              <w:rPr>
                <w:rFonts w:ascii="Arial" w:cs="Arial" w:eastAsia="Arial" w:hAnsi="Arial"/>
                <w:sz w:val="18"/>
                <w:szCs w:val="18"/>
                <w:color w:val="auto"/>
                <w:w w:val="88"/>
              </w:rPr>
              <w:t>We obtained an understanding, evaluated the design and tested the operating effectiveness of controls over the existence</w:t>
            </w:r>
          </w:p>
        </w:tc>
      </w:tr>
      <w:tr>
        <w:trPr>
          <w:trHeight w:val="213"/>
        </w:trPr>
        <w:tc>
          <w:tcPr>
            <w:tcW w:w="1260" w:type="dxa"/>
            <w:vAlign w:val="bottom"/>
          </w:tcPr>
          <w:p>
            <w:pPr>
              <w:spacing w:after="0"/>
              <w:rPr>
                <w:sz w:val="20"/>
                <w:szCs w:val="20"/>
                <w:color w:val="auto"/>
              </w:rPr>
            </w:pPr>
            <w:r>
              <w:rPr>
                <w:rFonts w:ascii="Arial" w:cs="Arial" w:eastAsia="Arial" w:hAnsi="Arial"/>
                <w:sz w:val="18"/>
                <w:szCs w:val="18"/>
                <w:i w:val="1"/>
                <w:iCs w:val="1"/>
                <w:color w:val="auto"/>
              </w:rPr>
              <w:t>Addressed the</w:t>
            </w:r>
          </w:p>
        </w:tc>
        <w:tc>
          <w:tcPr>
            <w:tcW w:w="8800" w:type="dxa"/>
            <w:vAlign w:val="bottom"/>
          </w:tcPr>
          <w:p>
            <w:pPr>
              <w:ind w:left="180"/>
              <w:spacing w:after="0"/>
              <w:rPr>
                <w:sz w:val="20"/>
                <w:szCs w:val="20"/>
                <w:color w:val="auto"/>
              </w:rPr>
            </w:pPr>
            <w:r>
              <w:rPr>
                <w:rFonts w:ascii="Arial" w:cs="Arial" w:eastAsia="Arial" w:hAnsi="Arial"/>
                <w:sz w:val="18"/>
                <w:szCs w:val="18"/>
                <w:color w:val="auto"/>
                <w:w w:val="94"/>
              </w:rPr>
              <w:t>of uncertain tax positions and measurement of the benefit of those positions. For example, we tested controls over</w:t>
            </w:r>
          </w:p>
        </w:tc>
      </w:tr>
      <w:tr>
        <w:trPr>
          <w:trHeight w:val="213"/>
        </w:trPr>
        <w:tc>
          <w:tcPr>
            <w:tcW w:w="126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8800" w:type="dxa"/>
            <w:vAlign w:val="bottom"/>
          </w:tcPr>
          <w:p>
            <w:pPr>
              <w:ind w:left="180"/>
              <w:spacing w:after="0"/>
              <w:rPr>
                <w:sz w:val="20"/>
                <w:szCs w:val="20"/>
                <w:color w:val="auto"/>
              </w:rPr>
            </w:pPr>
            <w:r>
              <w:rPr>
                <w:rFonts w:ascii="Arial" w:cs="Arial" w:eastAsia="Arial" w:hAnsi="Arial"/>
                <w:sz w:val="18"/>
                <w:szCs w:val="18"/>
                <w:color w:val="auto"/>
                <w:w w:val="90"/>
              </w:rPr>
              <w:t>management’s review of the technical merits of tax positions, the events and information that impacted tax positions, the</w:t>
            </w:r>
          </w:p>
        </w:tc>
      </w:tr>
      <w:tr>
        <w:trPr>
          <w:trHeight w:val="224"/>
        </w:trPr>
        <w:tc>
          <w:tcPr>
            <w:tcW w:w="126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8800" w:type="dxa"/>
            <w:vAlign w:val="bottom"/>
          </w:tcPr>
          <w:p>
            <w:pPr>
              <w:ind w:left="180"/>
              <w:spacing w:after="0"/>
              <w:rPr>
                <w:sz w:val="20"/>
                <w:szCs w:val="20"/>
                <w:color w:val="auto"/>
              </w:rPr>
            </w:pPr>
            <w:r>
              <w:rPr>
                <w:rFonts w:ascii="Arial" w:cs="Arial" w:eastAsia="Arial" w:hAnsi="Arial"/>
                <w:sz w:val="18"/>
                <w:szCs w:val="18"/>
                <w:color w:val="auto"/>
              </w:rPr>
              <w:t>estimate of the most likely outcome, and the data utilized in the estimate.</w:t>
            </w:r>
          </w:p>
        </w:tc>
      </w:tr>
      <w:tr>
        <w:trPr>
          <w:trHeight w:val="374"/>
        </w:trPr>
        <w:tc>
          <w:tcPr>
            <w:tcW w:w="1260" w:type="dxa"/>
            <w:vAlign w:val="bottom"/>
          </w:tcPr>
          <w:p>
            <w:pPr>
              <w:spacing w:after="0"/>
              <w:rPr>
                <w:sz w:val="24"/>
                <w:szCs w:val="24"/>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1"/>
              </w:rPr>
              <w:t>To test the valuation of uncertain tax positions, our audit procedures included, among others, analyzing the Company’s</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8"/>
              </w:rPr>
              <w:t>assumptions and data used to determine the amount of tax benefit to recognize and tested the accuracy of the</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89"/>
              </w:rPr>
              <w:t>calculations. In considering the measurement criteria, we involved our tax professionals to assess the technical merits of</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1"/>
              </w:rPr>
              <w:t>the Company’s tax positions. This included assessing the Company’s correspondence with the relevant tax authorities</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1"/>
              </w:rPr>
              <w:t>and evaluating income tax opinions or other third-party advice obtained by the Company. We also used our knowledge</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0"/>
              </w:rPr>
              <w:t>of, and experience with, the application of international and local income tax laws by the relevant income tax authorities</w:t>
            </w:r>
          </w:p>
        </w:tc>
      </w:tr>
      <w:tr>
        <w:trPr>
          <w:trHeight w:val="213"/>
        </w:trPr>
        <w:tc>
          <w:tcPr>
            <w:tcW w:w="126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w w:val="90"/>
              </w:rPr>
              <w:t>to evaluate the Company’s accounting for those tax positions. We also evaluated the Company’s income tax disclosures</w:t>
            </w:r>
          </w:p>
        </w:tc>
      </w:tr>
      <w:tr>
        <w:trPr>
          <w:trHeight w:val="224"/>
        </w:trPr>
        <w:tc>
          <w:tcPr>
            <w:tcW w:w="126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included in Note 17 to the consolidated financial statements in relation to these matters.</w:t>
            </w:r>
          </w:p>
        </w:tc>
      </w:tr>
    </w:tbl>
    <w:p>
      <w:pPr>
        <w:spacing w:after="0" w:line="20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January 29, 2020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491" w:right="9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28,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69"/>
        </w:trPr>
        <w:tc>
          <w:tcPr>
            <w:tcW w:w="7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7480" w:type="dxa"/>
            <w:vAlign w:val="bottom"/>
            <w:shd w:val="clear" w:color="auto" w:fill="CCEEFF"/>
          </w:tcPr>
          <w:p>
            <w:pPr>
              <w:ind w:left="3500"/>
              <w:spacing w:after="0" w:line="20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0" w:type="dxa"/>
            <w:vAlign w:val="bottom"/>
          </w:tcPr>
          <w:p>
            <w:pPr>
              <w:spacing w:after="0"/>
              <w:rPr>
                <w:sz w:val="1"/>
                <w:szCs w:val="1"/>
                <w:color w:val="auto"/>
              </w:rPr>
            </w:pPr>
          </w:p>
        </w:tc>
      </w:tr>
      <w:tr>
        <w:trPr>
          <w:trHeight w:val="213"/>
        </w:trPr>
        <w:tc>
          <w:tcPr>
            <w:tcW w:w="748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498,825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416,779</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73,194</w:t>
            </w:r>
          </w:p>
        </w:tc>
        <w:tc>
          <w:tcPr>
            <w:tcW w:w="0" w:type="dxa"/>
            <w:vAlign w:val="bottom"/>
          </w:tcPr>
          <w:p>
            <w:pPr>
              <w:spacing w:after="0"/>
              <w:rPr>
                <w:sz w:val="1"/>
                <w:szCs w:val="1"/>
                <w:color w:val="auto"/>
              </w:rPr>
            </w:pPr>
          </w:p>
        </w:tc>
      </w:tr>
      <w:tr>
        <w:trPr>
          <w:trHeight w:val="213"/>
        </w:trPr>
        <w:tc>
          <w:tcPr>
            <w:tcW w:w="748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73,057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74,972</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64,650</w:t>
            </w:r>
          </w:p>
        </w:tc>
        <w:tc>
          <w:tcPr>
            <w:tcW w:w="0" w:type="dxa"/>
            <w:vAlign w:val="bottom"/>
          </w:tcPr>
          <w:p>
            <w:pPr>
              <w:spacing w:after="0"/>
              <w:rPr>
                <w:sz w:val="1"/>
                <w:szCs w:val="1"/>
                <w:color w:val="auto"/>
              </w:rPr>
            </w:pPr>
          </w:p>
        </w:tc>
      </w:tr>
      <w:tr>
        <w:trPr>
          <w:trHeight w:val="206"/>
        </w:trPr>
        <w:tc>
          <w:tcPr>
            <w:tcW w:w="7480" w:type="dxa"/>
            <w:vAlign w:val="bottom"/>
          </w:tcPr>
          <w:p>
            <w:pPr>
              <w:spacing w:after="0" w:line="205" w:lineRule="exact"/>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943,859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826,638</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139,049</w:t>
            </w:r>
          </w:p>
        </w:tc>
        <w:tc>
          <w:tcPr>
            <w:tcW w:w="0" w:type="dxa"/>
            <w:vAlign w:val="bottom"/>
          </w:tcPr>
          <w:p>
            <w:pPr>
              <w:spacing w:after="0"/>
              <w:rPr>
                <w:sz w:val="1"/>
                <w:szCs w:val="1"/>
                <w:color w:val="auto"/>
              </w:rPr>
            </w:pPr>
          </w:p>
        </w:tc>
      </w:tr>
      <w:tr>
        <w:trPr>
          <w:trHeight w:val="213"/>
        </w:trPr>
        <w:tc>
          <w:tcPr>
            <w:tcW w:w="74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398,402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397,344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170,832</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90,491</w:t>
            </w:r>
          </w:p>
        </w:tc>
        <w:tc>
          <w:tcPr>
            <w:tcW w:w="0" w:type="dxa"/>
            <w:vAlign w:val="bottom"/>
          </w:tcPr>
          <w:p>
            <w:pPr>
              <w:spacing w:after="0"/>
              <w:rPr>
                <w:sz w:val="1"/>
                <w:szCs w:val="1"/>
                <w:color w:val="auto"/>
              </w:rPr>
            </w:pPr>
          </w:p>
        </w:tc>
      </w:tr>
      <w:tr>
        <w:trPr>
          <w:trHeight w:val="206"/>
        </w:trPr>
        <w:tc>
          <w:tcPr>
            <w:tcW w:w="748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1,674,853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1,624,354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23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38,899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41,171</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 and returns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79,551</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81,180</w:t>
            </w:r>
          </w:p>
        </w:tc>
        <w:tc>
          <w:tcPr>
            <w:tcW w:w="0" w:type="dxa"/>
            <w:vAlign w:val="bottom"/>
          </w:tcPr>
          <w:p>
            <w:pPr>
              <w:spacing w:after="0"/>
              <w:rPr>
                <w:sz w:val="1"/>
                <w:szCs w:val="1"/>
                <w:color w:val="auto"/>
              </w:rPr>
            </w:pPr>
          </w:p>
        </w:tc>
      </w:tr>
      <w:tr>
        <w:trPr>
          <w:trHeight w:val="206"/>
        </w:trPr>
        <w:tc>
          <w:tcPr>
            <w:tcW w:w="74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137,701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144,845</w:t>
            </w:r>
          </w:p>
        </w:tc>
        <w:tc>
          <w:tcPr>
            <w:tcW w:w="0" w:type="dxa"/>
            <w:vAlign w:val="bottom"/>
          </w:tcPr>
          <w:p>
            <w:pPr>
              <w:spacing w:after="0"/>
              <w:rPr>
                <w:sz w:val="1"/>
                <w:szCs w:val="1"/>
                <w:color w:val="auto"/>
              </w:rPr>
            </w:pPr>
          </w:p>
        </w:tc>
      </w:tr>
      <w:tr>
        <w:trPr>
          <w:trHeight w:val="213"/>
        </w:trPr>
        <w:tc>
          <w:tcPr>
            <w:tcW w:w="7480" w:type="dxa"/>
            <w:vAlign w:val="bottom"/>
          </w:tcPr>
          <w:p>
            <w:pPr>
              <w:spacing w:after="0"/>
              <w:rPr>
                <w:sz w:val="20"/>
                <w:szCs w:val="20"/>
                <w:color w:val="auto"/>
              </w:rPr>
            </w:pPr>
            <w:r>
              <w:rPr>
                <w:rFonts w:ascii="Arial" w:cs="Arial" w:eastAsia="Arial" w:hAnsi="Arial"/>
                <w:sz w:val="18"/>
                <w:szCs w:val="18"/>
                <w:color w:val="auto"/>
              </w:rPr>
              <w:t>Convertible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354,771</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57,448</w:t>
            </w:r>
          </w:p>
        </w:tc>
        <w:tc>
          <w:tcPr>
            <w:tcW w:w="0" w:type="dxa"/>
            <w:vAlign w:val="bottom"/>
          </w:tcPr>
          <w:p>
            <w:pPr>
              <w:spacing w:after="0"/>
              <w:rPr>
                <w:sz w:val="1"/>
                <w:szCs w:val="1"/>
                <w:color w:val="auto"/>
              </w:rPr>
            </w:pPr>
          </w:p>
        </w:tc>
      </w:tr>
      <w:tr>
        <w:trPr>
          <w:trHeight w:val="206"/>
        </w:trPr>
        <w:tc>
          <w:tcPr>
            <w:tcW w:w="7480" w:type="dxa"/>
            <w:vAlign w:val="bottom"/>
          </w:tcPr>
          <w:p>
            <w:pPr>
              <w:spacing w:after="0" w:line="205" w:lineRule="exact"/>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559,802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557,064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 – $0.0001 par value; 10,000 shares authorized; no shares issued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480" w:type="dxa"/>
            <w:vAlign w:val="bottom"/>
          </w:tcPr>
          <w:p>
            <w:pPr>
              <w:ind w:left="100"/>
              <w:spacing w:after="0" w:line="201" w:lineRule="exact"/>
              <w:rPr>
                <w:sz w:val="20"/>
                <w:szCs w:val="20"/>
                <w:color w:val="auto"/>
              </w:rPr>
            </w:pPr>
            <w:r>
              <w:rPr>
                <w:rFonts w:ascii="Arial" w:cs="Arial" w:eastAsia="Arial" w:hAnsi="Arial"/>
                <w:sz w:val="18"/>
                <w:szCs w:val="18"/>
                <w:color w:val="auto"/>
                <w:w w:val="89"/>
              </w:rPr>
              <w:t>Common stock – $0.0001 par value; 250,000 shares authorized; 43,496 and 43,088 shares issued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80" w:type="dxa"/>
            <w:vAlign w:val="bottom"/>
          </w:tcPr>
          <w:p>
            <w:pPr>
              <w:ind w:left="220"/>
              <w:spacing w:after="0"/>
              <w:rPr>
                <w:sz w:val="20"/>
                <w:szCs w:val="20"/>
                <w:color w:val="auto"/>
              </w:rPr>
            </w:pPr>
            <w:r>
              <w:rPr>
                <w:rFonts w:ascii="Arial" w:cs="Arial" w:eastAsia="Arial" w:hAnsi="Arial"/>
                <w:sz w:val="18"/>
                <w:szCs w:val="18"/>
                <w:color w:val="auto"/>
              </w:rPr>
              <w:t>outstanding at December 28, 2019 and December 29, 2018, respectively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107,517</w:t>
            </w:r>
          </w:p>
        </w:tc>
        <w:tc>
          <w:tcPr>
            <w:tcW w:w="0" w:type="dxa"/>
            <w:vAlign w:val="bottom"/>
          </w:tcPr>
          <w:p>
            <w:pPr>
              <w:spacing w:after="0"/>
              <w:rPr>
                <w:sz w:val="1"/>
                <w:szCs w:val="1"/>
                <w:color w:val="auto"/>
              </w:rPr>
            </w:pPr>
          </w:p>
        </w:tc>
      </w:tr>
      <w:tr>
        <w:trPr>
          <w:trHeight w:val="213"/>
        </w:trPr>
        <w:tc>
          <w:tcPr>
            <w:tcW w:w="748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980,608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961,343</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6"/>
        </w:trPr>
        <w:tc>
          <w:tcPr>
            <w:tcW w:w="7480" w:type="dxa"/>
            <w:vAlign w:val="bottom"/>
            <w:tcBorders>
              <w:bottom w:val="single" w:sz="8" w:color="CCEEFF"/>
            </w:tcBorders>
          </w:tcPr>
          <w:p>
            <w:pPr>
              <w:spacing w:after="0" w:line="205"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1,115,051</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1,067,290</w:t>
            </w:r>
          </w:p>
        </w:tc>
        <w:tc>
          <w:tcPr>
            <w:tcW w:w="0" w:type="dxa"/>
            <w:vAlign w:val="bottom"/>
          </w:tcPr>
          <w:p>
            <w:pPr>
              <w:spacing w:after="0"/>
              <w:rPr>
                <w:sz w:val="1"/>
                <w:szCs w:val="1"/>
                <w:color w:val="auto"/>
              </w:rPr>
            </w:pPr>
          </w:p>
        </w:tc>
      </w:tr>
      <w:tr>
        <w:trPr>
          <w:trHeight w:val="206"/>
        </w:trPr>
        <w:tc>
          <w:tcPr>
            <w:tcW w:w="748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1,674,853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1,624,354</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17"/>
        </w:trPr>
        <w:tc>
          <w:tcPr>
            <w:tcW w:w="5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6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rPr>
              <w:t>December 28,</w:t>
            </w:r>
          </w:p>
        </w:tc>
        <w:tc>
          <w:tcPr>
            <w:tcW w:w="200" w:type="dxa"/>
            <w:vAlign w:val="bottom"/>
          </w:tcPr>
          <w:p>
            <w:pPr>
              <w:spacing w:after="0"/>
              <w:rPr>
                <w:sz w:val="10"/>
                <w:szCs w:val="10"/>
                <w:color w:val="auto"/>
              </w:rPr>
            </w:pPr>
          </w:p>
        </w:tc>
        <w:tc>
          <w:tcPr>
            <w:tcW w:w="940" w:type="dxa"/>
            <w:vAlign w:val="bottom"/>
            <w:gridSpan w:val="2"/>
          </w:tcPr>
          <w:p>
            <w:pPr>
              <w:jc w:val="center"/>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0" w:type="dxa"/>
            <w:vAlign w:val="bottom"/>
          </w:tcPr>
          <w:p>
            <w:pPr>
              <w:spacing w:after="0"/>
              <w:rPr>
                <w:sz w:val="10"/>
                <w:szCs w:val="10"/>
                <w:color w:val="auto"/>
              </w:rPr>
            </w:pPr>
          </w:p>
        </w:tc>
        <w:tc>
          <w:tcPr>
            <w:tcW w:w="94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rPr>
              <w:t>December 30,</w:t>
            </w:r>
          </w:p>
        </w:tc>
      </w:tr>
      <w:tr>
        <w:trPr>
          <w:trHeight w:val="169"/>
        </w:trPr>
        <w:tc>
          <w:tcPr>
            <w:tcW w:w="51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r>
      <w:tr>
        <w:trPr>
          <w:trHeight w:val="206"/>
        </w:trPr>
        <w:tc>
          <w:tcPr>
            <w:tcW w:w="5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837,554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868,267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768,867</w:t>
            </w:r>
          </w:p>
        </w:tc>
      </w:tr>
      <w:tr>
        <w:trPr>
          <w:trHeight w:val="213"/>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17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327,270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346,868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314,676</w:t>
            </w:r>
          </w:p>
        </w:tc>
      </w:tr>
      <w:tr>
        <w:trPr>
          <w:trHeight w:val="206"/>
        </w:trPr>
        <w:tc>
          <w:tcPr>
            <w:tcW w:w="5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Gross profit</w:t>
            </w: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510,284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521,399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454,191</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209,491</w:t>
            </w:r>
          </w:p>
        </w:tc>
      </w:tr>
      <w:tr>
        <w:trPr>
          <w:trHeight w:val="213"/>
        </w:trPr>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196,437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197,844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159,726</w:t>
            </w:r>
          </w:p>
        </w:tc>
      </w:tr>
      <w:tr>
        <w:trPr>
          <w:trHeight w:val="206"/>
        </w:trPr>
        <w:tc>
          <w:tcPr>
            <w:tcW w:w="51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453,587</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436,191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369,217</w:t>
            </w:r>
          </w:p>
        </w:tc>
      </w:tr>
      <w:tr>
        <w:trPr>
          <w:trHeight w:val="206"/>
        </w:trPr>
        <w:tc>
          <w:tcPr>
            <w:tcW w:w="5100" w:type="dxa"/>
            <w:vAlign w:val="bottom"/>
          </w:tcPr>
          <w:p>
            <w:pPr>
              <w:spacing w:after="0" w:line="205" w:lineRule="exact"/>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56,697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85,208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84,974</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5100" w:type="dxa"/>
            <w:vAlign w:val="bottom"/>
          </w:tcPr>
          <w:p>
            <w:pPr>
              <w:ind w:left="100"/>
              <w:spacing w:after="0"/>
              <w:rPr>
                <w:sz w:val="20"/>
                <w:szCs w:val="20"/>
                <w:color w:val="auto"/>
              </w:rPr>
            </w:pPr>
            <w:r>
              <w:rPr>
                <w:rFonts w:ascii="Arial" w:cs="Arial" w:eastAsia="Arial" w:hAnsi="Arial"/>
                <w:sz w:val="18"/>
                <w:szCs w:val="18"/>
                <w:color w:val="auto"/>
              </w:rPr>
              <w:t>Interest income and other, net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6,057</w:t>
            </w:r>
          </w:p>
        </w:tc>
      </w:tr>
      <w:tr>
        <w:trPr>
          <w:trHeight w:val="213"/>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r>
      <w:tr>
        <w:trPr>
          <w:trHeight w:val="206"/>
        </w:trPr>
        <w:tc>
          <w:tcPr>
            <w:tcW w:w="5100" w:type="dxa"/>
            <w:vAlign w:val="bottom"/>
          </w:tcPr>
          <w:p>
            <w:pPr>
              <w:spacing w:after="0" w:line="205" w:lineRule="exact"/>
              <w:rPr>
                <w:sz w:val="20"/>
                <w:szCs w:val="20"/>
                <w:color w:val="auto"/>
              </w:rPr>
            </w:pPr>
            <w:r>
              <w:rPr>
                <w:rFonts w:ascii="Arial" w:cs="Arial" w:eastAsia="Arial" w:hAnsi="Arial"/>
                <w:sz w:val="18"/>
                <w:szCs w:val="18"/>
                <w:color w:val="auto"/>
              </w:rPr>
              <w:t>Income before income taxes</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49,649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72,161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76,903</w:t>
            </w: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29,811</w:t>
            </w:r>
          </w:p>
        </w:tc>
      </w:tr>
      <w:tr>
        <w:trPr>
          <w:trHeight w:val="246"/>
        </w:trPr>
        <w:tc>
          <w:tcPr>
            <w:tcW w:w="5100" w:type="dxa"/>
            <w:vAlign w:val="bottom"/>
            <w:tcBorders>
              <w:bottom w:val="single" w:sz="8" w:color="CCEEFF"/>
            </w:tcBorders>
          </w:tcPr>
          <w:p>
            <w:pPr>
              <w:spacing w:after="0" w:line="206" w:lineRule="exact"/>
              <w:rPr>
                <w:sz w:val="20"/>
                <w:szCs w:val="20"/>
                <w:color w:val="auto"/>
              </w:rPr>
            </w:pPr>
            <w:r>
              <w:rPr>
                <w:rFonts w:ascii="Arial" w:cs="Arial" w:eastAsia="Arial" w:hAnsi="Arial"/>
                <w:sz w:val="18"/>
                <w:szCs w:val="18"/>
                <w:color w:val="auto"/>
              </w:rPr>
              <w:t>Net income</w:t>
            </w:r>
          </w:p>
        </w:tc>
        <w:tc>
          <w:tcPr>
            <w:tcW w:w="17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19,265</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83,591</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47,092</w:t>
            </w:r>
          </w:p>
        </w:tc>
      </w:tr>
      <w:tr>
        <w:trPr>
          <w:trHeight w:val="192"/>
        </w:trPr>
        <w:tc>
          <w:tcPr>
            <w:tcW w:w="5100" w:type="dxa"/>
            <w:vAlign w:val="bottom"/>
            <w:shd w:val="clear" w:color="auto" w:fill="CCEEFF"/>
          </w:tcPr>
          <w:p>
            <w:pPr>
              <w:spacing w:after="0" w:line="191" w:lineRule="exact"/>
              <w:rPr>
                <w:sz w:val="20"/>
                <w:szCs w:val="20"/>
                <w:color w:val="auto"/>
              </w:rPr>
            </w:pPr>
            <w:r>
              <w:rPr>
                <w:rFonts w:ascii="Arial" w:cs="Arial" w:eastAsia="Arial" w:hAnsi="Arial"/>
                <w:sz w:val="18"/>
                <w:szCs w:val="18"/>
                <w:color w:val="auto"/>
              </w:rPr>
              <w:t>Earnings per share:</w:t>
            </w:r>
          </w:p>
        </w:tc>
        <w:tc>
          <w:tcPr>
            <w:tcW w:w="1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3"/>
        </w:trPr>
        <w:tc>
          <w:tcPr>
            <w:tcW w:w="5100" w:type="dxa"/>
            <w:vAlign w:val="bottom"/>
          </w:tcPr>
          <w:p>
            <w:pPr>
              <w:ind w:left="100"/>
              <w:spacing w:after="0"/>
              <w:rPr>
                <w:sz w:val="20"/>
                <w:szCs w:val="20"/>
                <w:color w:val="auto"/>
              </w:rPr>
            </w:pPr>
            <w:r>
              <w:rPr>
                <w:rFonts w:ascii="Arial" w:cs="Arial" w:eastAsia="Arial" w:hAnsi="Arial"/>
                <w:sz w:val="18"/>
                <w:szCs w:val="18"/>
                <w:color w:val="auto"/>
              </w:rPr>
              <w:t>Basic</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3"/>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3"/>
        </w:trPr>
        <w:tc>
          <w:tcPr>
            <w:tcW w:w="51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3"/>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42,446</w:t>
            </w:r>
          </w:p>
        </w:tc>
      </w:tr>
      <w:tr>
        <w:trPr>
          <w:trHeight w:val="224"/>
        </w:trPr>
        <w:tc>
          <w:tcPr>
            <w:tcW w:w="5100" w:type="dxa"/>
            <w:vAlign w:val="bottom"/>
          </w:tcPr>
          <w:p>
            <w:pPr>
              <w:ind w:left="10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43,332</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17"/>
        </w:trPr>
        <w:tc>
          <w:tcPr>
            <w:tcW w:w="5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5"/>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5"/>
              <w:spacing w:after="0" w:line="117" w:lineRule="exact"/>
              <w:rPr>
                <w:sz w:val="20"/>
                <w:szCs w:val="20"/>
                <w:color w:val="auto"/>
              </w:rPr>
            </w:pPr>
            <w:r>
              <w:rPr>
                <w:rFonts w:ascii="Arial" w:cs="Arial" w:eastAsia="Arial" w:hAnsi="Arial"/>
                <w:sz w:val="13"/>
                <w:szCs w:val="13"/>
                <w:b w:val="1"/>
                <w:bCs w:val="1"/>
                <w:color w:val="auto"/>
                <w:w w:val="99"/>
              </w:rPr>
              <w:t>December 30,</w:t>
            </w:r>
          </w:p>
        </w:tc>
      </w:tr>
      <w:tr>
        <w:trPr>
          <w:trHeight w:val="169"/>
        </w:trPr>
        <w:tc>
          <w:tcPr>
            <w:tcW w:w="52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r>
      <w:tr>
        <w:trPr>
          <w:trHeight w:val="206"/>
        </w:trPr>
        <w:tc>
          <w:tcPr>
            <w:tcW w:w="5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19,265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83,591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47,092</w:t>
            </w:r>
          </w:p>
        </w:tc>
      </w:tr>
      <w:tr>
        <w:trPr>
          <w:trHeight w:val="213"/>
        </w:trPr>
        <w:tc>
          <w:tcPr>
            <w:tcW w:w="5240" w:type="dxa"/>
            <w:vAlign w:val="bottom"/>
          </w:tcPr>
          <w:p>
            <w:pPr>
              <w:spacing w:after="0"/>
              <w:rPr>
                <w:sz w:val="20"/>
                <w:szCs w:val="20"/>
                <w:color w:val="auto"/>
              </w:rPr>
            </w:pPr>
            <w:r>
              <w:rPr>
                <w:rFonts w:ascii="Arial" w:cs="Arial" w:eastAsia="Arial" w:hAnsi="Arial"/>
                <w:sz w:val="18"/>
                <w:szCs w:val="18"/>
                <w:color w:val="auto"/>
              </w:rPr>
              <w:t>Other comprehensive income (loss), before tax:</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changes to available-for-sale securities: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40" w:type="dxa"/>
            <w:vAlign w:val="bottom"/>
          </w:tcPr>
          <w:p>
            <w:pPr>
              <w:ind w:left="220"/>
              <w:spacing w:after="0"/>
              <w:rPr>
                <w:sz w:val="20"/>
                <w:szCs w:val="20"/>
                <w:color w:val="auto"/>
              </w:rPr>
            </w:pPr>
            <w:r>
              <w:rPr>
                <w:rFonts w:ascii="Arial" w:cs="Arial" w:eastAsia="Arial" w:hAnsi="Arial"/>
                <w:sz w:val="18"/>
                <w:szCs w:val="18"/>
                <w:color w:val="auto"/>
              </w:rPr>
              <w:t>Unrealized gains (losses) arising during the period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1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for (gains) losses included in net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5240" w:type="dxa"/>
            <w:vAlign w:val="bottom"/>
          </w:tcPr>
          <w:p>
            <w:pPr>
              <w:ind w:left="100"/>
              <w:spacing w:after="0"/>
              <w:rPr>
                <w:sz w:val="20"/>
                <w:szCs w:val="20"/>
                <w:color w:val="auto"/>
              </w:rPr>
            </w:pPr>
            <w:r>
              <w:rPr>
                <w:rFonts w:ascii="Arial" w:cs="Arial" w:eastAsia="Arial" w:hAnsi="Arial"/>
                <w:sz w:val="18"/>
                <w:szCs w:val="18"/>
                <w:color w:val="auto"/>
              </w:rPr>
              <w:t>Net changes to cash flow hedges: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arising during the period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Reclassification for (gains) losses included in net income</w:t>
            </w: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r>
      <w:tr>
        <w:trPr>
          <w:trHeight w:val="206"/>
        </w:trPr>
        <w:tc>
          <w:tcPr>
            <w:tcW w:w="5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Other comprehensive income (loss), before tax</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2,809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(2,537)</w:t>
            </w:r>
          </w:p>
        </w:tc>
      </w:tr>
      <w:tr>
        <w:trPr>
          <w:trHeight w:val="213"/>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06"/>
        </w:trPr>
        <w:tc>
          <w:tcPr>
            <w:tcW w:w="5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Other comprehensive income (loss)</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2,220</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(1,649)</w:t>
            </w:r>
          </w:p>
        </w:tc>
      </w:tr>
      <w:tr>
        <w:trPr>
          <w:trHeight w:val="206"/>
        </w:trPr>
        <w:tc>
          <w:tcPr>
            <w:tcW w:w="5240" w:type="dxa"/>
            <w:vAlign w:val="bottom"/>
          </w:tcPr>
          <w:p>
            <w:pPr>
              <w:spacing w:after="0" w:line="206" w:lineRule="exact"/>
              <w:rPr>
                <w:sz w:val="20"/>
                <w:szCs w:val="20"/>
                <w:color w:val="auto"/>
              </w:rPr>
            </w:pPr>
            <w:r>
              <w:rPr>
                <w:rFonts w:ascii="Arial" w:cs="Arial" w:eastAsia="Arial" w:hAnsi="Arial"/>
                <w:sz w:val="18"/>
                <w:szCs w:val="18"/>
                <w:color w:val="auto"/>
              </w:rPr>
              <w:t>Comprehensive income</w:t>
            </w:r>
          </w:p>
        </w:tc>
        <w:tc>
          <w:tcPr>
            <w:tcW w:w="10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21,485</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83,424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45,443</w:t>
            </w:r>
          </w:p>
        </w:tc>
      </w:tr>
      <w:tr>
        <w:trPr>
          <w:trHeight w:val="20"/>
        </w:trPr>
        <w:tc>
          <w:tcPr>
            <w:tcW w:w="5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93"/>
              <w:spacing w:after="0" w:line="146"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3"/>
              <w:spacing w:after="0" w:line="146"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2"/>
                <w:szCs w:val="12"/>
                <w:color w:val="auto"/>
              </w:rPr>
            </w:pPr>
          </w:p>
        </w:tc>
        <w:tc>
          <w:tcPr>
            <w:tcW w:w="9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as of December 31, 2016</w:t>
            </w: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41,889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24,463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8"/>
              </w:rPr>
              <w:t>801,999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826,958</w:t>
            </w:r>
          </w:p>
        </w:tc>
        <w:tc>
          <w:tcPr>
            <w:tcW w:w="0" w:type="dxa"/>
            <w:vAlign w:val="bottom"/>
          </w:tcPr>
          <w:p>
            <w:pPr>
              <w:spacing w:after="0"/>
              <w:rPr>
                <w:sz w:val="1"/>
                <w:szCs w:val="1"/>
                <w:color w:val="auto"/>
              </w:rPr>
            </w:pPr>
          </w:p>
        </w:tc>
      </w:tr>
      <w:tr>
        <w:trPr>
          <w:trHeight w:val="200"/>
        </w:trPr>
        <w:tc>
          <w:tcPr>
            <w:tcW w:w="3920" w:type="dxa"/>
            <w:vAlign w:val="bottom"/>
          </w:tcPr>
          <w:p>
            <w:pPr>
              <w:ind w:left="100"/>
              <w:spacing w:after="0" w:line="201" w:lineRule="exact"/>
              <w:rPr>
                <w:sz w:val="20"/>
                <w:szCs w:val="20"/>
                <w:color w:val="auto"/>
              </w:rPr>
            </w:pPr>
            <w:r>
              <w:rPr>
                <w:rFonts w:ascii="Arial" w:cs="Arial" w:eastAsia="Arial" w:hAnsi="Arial"/>
                <w:sz w:val="18"/>
                <w:szCs w:val="18"/>
                <w:color w:val="auto"/>
              </w:rPr>
              <w:t>Cumulative effect of adoption of accounting</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20" w:type="dxa"/>
            <w:vAlign w:val="bottom"/>
          </w:tcPr>
          <w:p>
            <w:pPr>
              <w:ind w:left="100"/>
              <w:spacing w:after="0"/>
              <w:rPr>
                <w:sz w:val="20"/>
                <w:szCs w:val="20"/>
                <w:color w:val="auto"/>
              </w:rPr>
            </w:pPr>
            <w:r>
              <w:rPr>
                <w:rFonts w:ascii="Arial" w:cs="Arial" w:eastAsia="Arial" w:hAnsi="Arial"/>
                <w:sz w:val="18"/>
                <w:szCs w:val="18"/>
                <w:color w:val="auto"/>
              </w:rPr>
              <w:t>standard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47,092</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Stock issuances, net of shares withheld for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44,809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Convertible debt issuance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37,528</w:t>
            </w:r>
          </w:p>
        </w:tc>
        <w:tc>
          <w:tcPr>
            <w:tcW w:w="0" w:type="dxa"/>
            <w:vAlign w:val="bottom"/>
          </w:tcPr>
          <w:p>
            <w:pPr>
              <w:spacing w:after="0"/>
              <w:rPr>
                <w:sz w:val="1"/>
                <w:szCs w:val="1"/>
                <w:color w:val="auto"/>
              </w:rPr>
            </w:pPr>
          </w:p>
        </w:tc>
      </w:tr>
      <w:tr>
        <w:trPr>
          <w:trHeight w:val="206"/>
        </w:trPr>
        <w:tc>
          <w:tcPr>
            <w:tcW w:w="3920" w:type="dxa"/>
            <w:vAlign w:val="bottom"/>
          </w:tcPr>
          <w:p>
            <w:pPr>
              <w:spacing w:after="0" w:line="205" w:lineRule="exact"/>
              <w:rPr>
                <w:sz w:val="20"/>
                <w:szCs w:val="20"/>
                <w:color w:val="auto"/>
              </w:rPr>
            </w:pPr>
            <w:r>
              <w:rPr>
                <w:rFonts w:ascii="Arial" w:cs="Arial" w:eastAsia="Arial" w:hAnsi="Arial"/>
                <w:sz w:val="18"/>
                <w:szCs w:val="18"/>
                <w:color w:val="auto"/>
              </w:rPr>
              <w:t>Balance as of December 30, 2017</w:t>
            </w:r>
          </w:p>
        </w:tc>
        <w:tc>
          <w:tcPr>
            <w:tcW w:w="700" w:type="dxa"/>
            <w:vAlign w:val="bottom"/>
          </w:tcPr>
          <w:p>
            <w:pPr>
              <w:jc w:val="right"/>
              <w:spacing w:after="0" w:line="206" w:lineRule="exact"/>
              <w:rPr>
                <w:sz w:val="20"/>
                <w:szCs w:val="20"/>
                <w:color w:val="auto"/>
              </w:rPr>
            </w:pPr>
            <w:r>
              <w:rPr>
                <w:rFonts w:ascii="Arial" w:cs="Arial" w:eastAsia="Arial" w:hAnsi="Arial"/>
                <w:sz w:val="18"/>
                <w:szCs w:val="18"/>
                <w:color w:val="auto"/>
              </w:rPr>
              <w:t>42,707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6"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6" w:lineRule="exact"/>
              <w:rPr>
                <w:sz w:val="20"/>
                <w:szCs w:val="20"/>
                <w:color w:val="auto"/>
              </w:rPr>
            </w:pPr>
            <w:r>
              <w:rPr>
                <w:rFonts w:ascii="Arial" w:cs="Arial" w:eastAsia="Arial" w:hAnsi="Arial"/>
                <w:sz w:val="18"/>
                <w:szCs w:val="18"/>
                <w:color w:val="auto"/>
                <w:w w:val="92"/>
              </w:rPr>
              <w:t>102,862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6" w:lineRule="exact"/>
              <w:rPr>
                <w:sz w:val="20"/>
                <w:szCs w:val="20"/>
                <w:color w:val="auto"/>
              </w:rPr>
            </w:pPr>
            <w:r>
              <w:rPr>
                <w:rFonts w:ascii="Arial" w:cs="Arial" w:eastAsia="Arial" w:hAnsi="Arial"/>
                <w:sz w:val="18"/>
                <w:szCs w:val="18"/>
                <w:color w:val="auto"/>
                <w:w w:val="98"/>
              </w:rPr>
              <w:t>851,307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6" w:lineRule="exact"/>
              <w:rPr>
                <w:sz w:val="20"/>
                <w:szCs w:val="20"/>
                <w:color w:val="auto"/>
              </w:rPr>
            </w:pPr>
            <w:r>
              <w:rPr>
                <w:rFonts w:ascii="Arial" w:cs="Arial" w:eastAsia="Arial" w:hAnsi="Arial"/>
                <w:sz w:val="18"/>
                <w:szCs w:val="18"/>
                <w:color w:val="auto"/>
              </w:rPr>
              <w:t>(1,157)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953,016</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Cumulative effect of adoption of accounting</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standard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26,195</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83,591</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Arial" w:cs="Arial" w:eastAsia="Arial" w:hAnsi="Arial"/>
                <w:sz w:val="18"/>
                <w:szCs w:val="18"/>
                <w:color w:val="auto"/>
                <w:w w:val="97"/>
              </w:rPr>
              <w:t>Stock issuances, net of shares withheld for taxes</w:t>
            </w:r>
          </w:p>
        </w:tc>
        <w:tc>
          <w:tcPr>
            <w:tcW w:w="70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(39,276)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as of December 29, 2018</w:t>
            </w: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43,088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107,517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8"/>
              </w:rPr>
              <w:t>961,343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(1,574)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1,067,290</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19,265</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income (loss)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13"/>
        </w:trPr>
        <w:tc>
          <w:tcPr>
            <w:tcW w:w="3920" w:type="dxa"/>
            <w:vAlign w:val="bottom"/>
          </w:tcPr>
          <w:p>
            <w:pPr>
              <w:ind w:left="100"/>
              <w:spacing w:after="0"/>
              <w:rPr>
                <w:sz w:val="20"/>
                <w:szCs w:val="20"/>
                <w:color w:val="auto"/>
              </w:rPr>
            </w:pPr>
            <w:r>
              <w:rPr>
                <w:rFonts w:ascii="Arial" w:cs="Arial" w:eastAsia="Arial" w:hAnsi="Arial"/>
                <w:sz w:val="18"/>
                <w:szCs w:val="18"/>
                <w:color w:val="auto"/>
                <w:w w:val="97"/>
              </w:rPr>
              <w:t>Stock issuances, net of shares withheld for taxes</w:t>
            </w:r>
          </w:p>
        </w:tc>
        <w:tc>
          <w:tcPr>
            <w:tcW w:w="700" w:type="dxa"/>
            <w:vAlign w:val="bottom"/>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(26,716)</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Stock-based compensation</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54,791</w:t>
            </w:r>
          </w:p>
        </w:tc>
        <w:tc>
          <w:tcPr>
            <w:tcW w:w="0" w:type="dxa"/>
            <w:vAlign w:val="bottom"/>
          </w:tcPr>
          <w:p>
            <w:pPr>
              <w:spacing w:after="0"/>
              <w:rPr>
                <w:sz w:val="1"/>
                <w:szCs w:val="1"/>
                <w:color w:val="auto"/>
              </w:rPr>
            </w:pPr>
          </w:p>
        </w:tc>
      </w:tr>
      <w:tr>
        <w:trPr>
          <w:trHeight w:val="206"/>
        </w:trPr>
        <w:tc>
          <w:tcPr>
            <w:tcW w:w="392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Balance as of December 28, 2019</w:t>
            </w:r>
          </w:p>
        </w:tc>
        <w:tc>
          <w:tcPr>
            <w:tcW w:w="7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43,496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133,793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8"/>
              </w:rPr>
              <w:t>980,608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646</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1,115,051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Year Ended</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3"/>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6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120" w:type="dxa"/>
            <w:vAlign w:val="bottom"/>
          </w:tcPr>
          <w:p>
            <w:pPr>
              <w:spacing w:after="0"/>
              <w:rPr>
                <w:sz w:val="10"/>
                <w:szCs w:val="10"/>
                <w:color w:val="auto"/>
              </w:rPr>
            </w:pPr>
          </w:p>
        </w:tc>
        <w:tc>
          <w:tcPr>
            <w:tcW w:w="1020" w:type="dxa"/>
            <w:vAlign w:val="bottom"/>
          </w:tcPr>
          <w:p>
            <w:pPr>
              <w:jc w:val="right"/>
              <w:ind w:right="73"/>
              <w:spacing w:after="0" w:line="117" w:lineRule="exact"/>
              <w:rPr>
                <w:sz w:val="20"/>
                <w:szCs w:val="20"/>
                <w:color w:val="auto"/>
              </w:rPr>
            </w:pPr>
            <w:r>
              <w:rPr>
                <w:rFonts w:ascii="Arial" w:cs="Arial" w:eastAsia="Arial" w:hAnsi="Arial"/>
                <w:sz w:val="13"/>
                <w:szCs w:val="13"/>
                <w:b w:val="1"/>
                <w:bCs w:val="1"/>
                <w:color w:val="auto"/>
                <w:w w:val="99"/>
              </w:rPr>
              <w:t>December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83,591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to cash provided by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Depreciation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Amortization of other intangible assets and 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Amortization of debt discount and debt issuance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50,077</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Other current liabilities and income taxes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deferred revenue and returns liability</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166,522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173,542</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189,521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Purchases of available-for-sale investments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(424,524)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(395,904)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(636,363)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available-for-sale investments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474,129</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Purchases of other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 of businesses, net of cash acquired</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(239,729)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(106,772)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(197,029)</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(374,291)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Payments on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(39,276)</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Payment of taxes withheld for vested stock awards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Payment of acquisition-related contingent consideration</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(29,647)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(48,836)</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313,030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197,043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269,366</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4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227,146</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197,043</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269,366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Income taxes paid</w:t>
            </w: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10,291</w:t>
            </w:r>
          </w:p>
        </w:tc>
        <w:tc>
          <w:tcPr>
            <w:tcW w:w="2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20,599</w:t>
            </w: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4" w:lineRule="exact"/>
        <w:rPr>
          <w:sz w:val="20"/>
          <w:szCs w:val="20"/>
          <w:color w:val="auto"/>
        </w:rPr>
      </w:pPr>
    </w:p>
    <w:p>
      <w:pPr>
        <w:ind w:right="40" w:firstLine="319"/>
        <w:spacing w:after="0" w:line="294" w:lineRule="auto"/>
        <w:rPr>
          <w:sz w:val="20"/>
          <w:szCs w:val="20"/>
          <w:color w:val="auto"/>
        </w:rPr>
      </w:pPr>
      <w:r>
        <w:rPr>
          <w:rFonts w:ascii="Arial" w:cs="Arial" w:eastAsia="Arial" w:hAnsi="Arial"/>
          <w:sz w:val="16"/>
          <w:szCs w:val="16"/>
          <w:color w:val="auto"/>
        </w:rPr>
        <w:t>Silicon Laboratories Inc. (the “Company”), a Delaware corporation, is a leading provider of silicon, software and solutions for a smarter, more connected world. Our award-winning technologies are shaping the future of the Internet of Things (IoT), Internet infrastructure, industrial automation, consumer and automotive markets. Within the semiconductor industry, the Company is known as a "fabless" company meaning that the integrated circuits (ICs) incorporated in its products are manufactured by third-party foundry semiconductor companies.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Principles of Consolidation</w:t>
      </w:r>
    </w:p>
    <w:p>
      <w:pPr>
        <w:spacing w:after="0" w:line="218" w:lineRule="exact"/>
        <w:rPr>
          <w:sz w:val="20"/>
          <w:szCs w:val="20"/>
          <w:color w:val="auto"/>
        </w:rPr>
      </w:pPr>
    </w:p>
    <w:p>
      <w:pPr>
        <w:ind w:right="280" w:firstLine="319"/>
        <w:spacing w:after="0" w:line="272" w:lineRule="auto"/>
        <w:rPr>
          <w:sz w:val="20"/>
          <w:szCs w:val="20"/>
          <w:color w:val="auto"/>
        </w:rPr>
      </w:pPr>
      <w:r>
        <w:rPr>
          <w:rFonts w:ascii="Arial" w:cs="Arial" w:eastAsia="Arial" w:hAnsi="Arial"/>
          <w:sz w:val="17"/>
          <w:szCs w:val="17"/>
          <w:color w:val="auto"/>
        </w:rPr>
        <w:t>The Company prepares financial statements on a 52- or 53-week fiscal year that ends on the Saturday closest to December 31. Fiscal 2019, 2018 and 2017 had 52 weeks and ended on December 28, 2019, December 29, 2018 and December 30, 2017, respectively. The accompanying Consolidated Financial Statements include the accounts of the Company and its wholly owned subsidiaries. All significant intercompany balances and transactions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18" w:lineRule="exact"/>
        <w:rPr>
          <w:sz w:val="20"/>
          <w:szCs w:val="20"/>
          <w:color w:val="auto"/>
        </w:rPr>
      </w:pPr>
    </w:p>
    <w:p>
      <w:pPr>
        <w:ind w:right="260" w:firstLine="319"/>
        <w:spacing w:after="0" w:line="278" w:lineRule="auto"/>
        <w:rPr>
          <w:sz w:val="20"/>
          <w:szCs w:val="20"/>
          <w:color w:val="auto"/>
        </w:rPr>
      </w:pPr>
      <w:r>
        <w:rPr>
          <w:rFonts w:ascii="Arial" w:cs="Arial" w:eastAsia="Arial" w:hAnsi="Arial"/>
          <w:sz w:val="17"/>
          <w:szCs w:val="17"/>
          <w:color w:val="auto"/>
        </w:rPr>
        <w:t>The Company's foreign subsidiaries are considered to be extensions of the U.S. Company. The functional currency of the foreign subsidiaries is the U.S. dollar. Accordingly, gains and losses resulting from remeasuring transactions denominated in currencies other than U.S. dollars are included in interest income and other, net in the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8" w:lineRule="exact"/>
        <w:rPr>
          <w:sz w:val="20"/>
          <w:szCs w:val="20"/>
          <w:color w:val="auto"/>
        </w:rPr>
      </w:pPr>
    </w:p>
    <w:p>
      <w:pPr>
        <w:ind w:firstLine="319"/>
        <w:spacing w:after="0" w:line="25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Lease Accounting Standard</w:t>
      </w:r>
    </w:p>
    <w:p>
      <w:pPr>
        <w:spacing w:after="0" w:line="218" w:lineRule="exact"/>
        <w:rPr>
          <w:sz w:val="20"/>
          <w:szCs w:val="20"/>
          <w:color w:val="auto"/>
        </w:rPr>
      </w:pPr>
    </w:p>
    <w:p>
      <w:pPr>
        <w:ind w:right="260" w:firstLine="319"/>
        <w:spacing w:after="0" w:line="253" w:lineRule="auto"/>
        <w:rPr>
          <w:sz w:val="20"/>
          <w:szCs w:val="20"/>
          <w:color w:val="auto"/>
        </w:rPr>
      </w:pPr>
      <w:r>
        <w:rPr>
          <w:rFonts w:ascii="Arial" w:cs="Arial" w:eastAsia="Arial" w:hAnsi="Arial"/>
          <w:sz w:val="18"/>
          <w:szCs w:val="18"/>
          <w:color w:val="auto"/>
        </w:rPr>
        <w:t xml:space="preserve">The Company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on December 30, 2018, the first day of its fiscal year ended December 28, 2019. We elected the package of practical expedients permitted under the transition guidance within the new standard, which allowed us to not reassess historical lease classifications, initial direct costs of existing leases or whether any expired or existing contracts were or contained leases.</w:t>
      </w:r>
    </w:p>
    <w:p>
      <w:pPr>
        <w:spacing w:after="0" w:line="190" w:lineRule="exact"/>
        <w:rPr>
          <w:sz w:val="20"/>
          <w:szCs w:val="20"/>
          <w:color w:val="auto"/>
        </w:rPr>
      </w:pPr>
    </w:p>
    <w:p>
      <w:pPr>
        <w:ind w:right="260" w:firstLine="319"/>
        <w:spacing w:after="0" w:line="256" w:lineRule="auto"/>
        <w:rPr>
          <w:sz w:val="20"/>
          <w:szCs w:val="20"/>
          <w:color w:val="auto"/>
        </w:rPr>
      </w:pPr>
      <w:r>
        <w:rPr>
          <w:rFonts w:ascii="Arial" w:cs="Arial" w:eastAsia="Arial" w:hAnsi="Arial"/>
          <w:sz w:val="18"/>
          <w:szCs w:val="18"/>
          <w:color w:val="auto"/>
        </w:rPr>
        <w:t>The Company elected the retrospective method of adoption at the beginning of the period of adoption through a cumulative-effect adjustment. Prior periods have not been adjusted. The following reflects the material changes recorded in connection with the cumulative-effect adjustment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Statement Line Item</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9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69"/>
        </w:trPr>
        <w:tc>
          <w:tcPr>
            <w:tcW w:w="6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assets, net</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120" w:firstLine="319"/>
        <w:spacing w:after="0" w:line="256" w:lineRule="auto"/>
        <w:rPr>
          <w:sz w:val="20"/>
          <w:szCs w:val="20"/>
          <w:color w:val="auto"/>
        </w:rPr>
      </w:pPr>
      <w:r>
        <w:rPr>
          <w:rFonts w:ascii="Arial" w:cs="Arial" w:eastAsia="Arial" w:hAnsi="Arial"/>
          <w:sz w:val="18"/>
          <w:szCs w:val="18"/>
          <w:color w:val="auto"/>
        </w:rPr>
        <w:t>The primary impact of the Company’s adoption of ASC 842 resulted from the recognition of right-of-use assets and operating lease liabilities. The adoption had no significant impact to the Consolidated Statements of Income or to cash provided by or used in net operating, investing or financing activities in the Consolidated Statements of Cash Flows.</w:t>
      </w:r>
    </w:p>
    <w:p>
      <w:pPr>
        <w:sectPr>
          <w:pgSz w:w="11900" w:h="16838" w:orient="portrait"/>
          <w:cols w:equalWidth="0" w:num="1">
            <w:col w:w="10040"/>
          </w:cols>
          <w:pgMar w:left="920" w:top="513"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378460</wp:posOffset>
            </wp:positionV>
            <wp:extent cx="638810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40"/>
          </w:cols>
          <w:pgMar w:left="920" w:top="513" w:right="9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Revenue Accounting Standard</w:t>
      </w:r>
    </w:p>
    <w:p>
      <w:pPr>
        <w:spacing w:after="0" w:line="218" w:lineRule="exact"/>
        <w:rPr>
          <w:sz w:val="20"/>
          <w:szCs w:val="20"/>
          <w:color w:val="auto"/>
        </w:rPr>
      </w:pPr>
    </w:p>
    <w:p>
      <w:pPr>
        <w:ind w:right="60" w:firstLine="319"/>
        <w:spacing w:after="0" w:line="290" w:lineRule="auto"/>
        <w:rPr>
          <w:sz w:val="20"/>
          <w:szCs w:val="20"/>
          <w:color w:val="auto"/>
        </w:rPr>
      </w:pPr>
      <w:r>
        <w:rPr>
          <w:rFonts w:ascii="Arial" w:cs="Arial" w:eastAsia="Arial" w:hAnsi="Arial"/>
          <w:sz w:val="16"/>
          <w:szCs w:val="16"/>
          <w:color w:val="auto"/>
        </w:rPr>
        <w:t xml:space="preserve">The Company adopted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December 31, 2017, the first day of its fiscal year ended December 29, 2018. The Company elected the modified retrospective method of adoption which only applies to those contracts which were not completed as of December 31, 2017. Prior periods have not been adjusted. In connection with its adoption of ASC 606, the Company recorded a cumulative-effect adjustment to retained earnings of $26.2 million on December 31, 2017. The following reflects the material changes recorded in connection with the cumulative-effect adjustment (in thousands):</w:t>
      </w:r>
    </w:p>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Financial Statement Line Item</w:t>
            </w:r>
          </w:p>
        </w:tc>
        <w:tc>
          <w:tcPr>
            <w:tcW w:w="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Increase (Decrease)</w:t>
            </w:r>
          </w:p>
        </w:tc>
      </w:tr>
      <w:tr>
        <w:trPr>
          <w:trHeight w:val="206"/>
        </w:trPr>
        <w:tc>
          <w:tcPr>
            <w:tcW w:w="20" w:type="dxa"/>
            <w:vAlign w:val="bottom"/>
          </w:tcPr>
          <w:p>
            <w:pPr>
              <w:spacing w:after="0"/>
              <w:rPr>
                <w:sz w:val="17"/>
                <w:szCs w:val="17"/>
                <w:color w:val="auto"/>
              </w:rPr>
            </w:pPr>
          </w:p>
        </w:tc>
        <w:tc>
          <w:tcPr>
            <w:tcW w:w="65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230</w:t>
            </w:r>
          </w:p>
        </w:tc>
      </w:tr>
      <w:tr>
        <w:trPr>
          <w:trHeight w:val="213"/>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7,579</w:t>
            </w:r>
          </w:p>
        </w:tc>
      </w:tr>
      <w:tr>
        <w:trPr>
          <w:trHeight w:val="213"/>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5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13"/>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Deferred revenue and returns liability</w:t>
            </w:r>
          </w:p>
        </w:tc>
        <w:tc>
          <w:tcPr>
            <w:tcW w:w="58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27,806</w:t>
            </w:r>
          </w:p>
        </w:tc>
      </w:tr>
      <w:tr>
        <w:trPr>
          <w:trHeight w:val="213"/>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w:t>
            </w:r>
          </w:p>
        </w:tc>
        <w:tc>
          <w:tcPr>
            <w:tcW w:w="5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(50,115)</w:t>
            </w:r>
          </w:p>
        </w:tc>
      </w:tr>
      <w:tr>
        <w:trPr>
          <w:trHeight w:val="213"/>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1,641</w:t>
            </w:r>
          </w:p>
        </w:tc>
      </w:tr>
      <w:tr>
        <w:trPr>
          <w:trHeight w:val="213"/>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26,195</w:t>
            </w:r>
          </w:p>
        </w:tc>
      </w:tr>
    </w:tbl>
    <w:p>
      <w:pPr>
        <w:spacing w:after="0" w:line="200" w:lineRule="exact"/>
        <w:rPr>
          <w:sz w:val="20"/>
          <w:szCs w:val="20"/>
          <w:color w:val="auto"/>
        </w:rPr>
      </w:pPr>
    </w:p>
    <w:p>
      <w:pPr>
        <w:ind w:right="100" w:firstLine="319"/>
        <w:spacing w:after="0" w:line="251" w:lineRule="auto"/>
        <w:rPr>
          <w:sz w:val="20"/>
          <w:szCs w:val="20"/>
          <w:color w:val="auto"/>
        </w:rPr>
      </w:pPr>
      <w:r>
        <w:rPr>
          <w:rFonts w:ascii="Arial" w:cs="Arial" w:eastAsia="Arial" w:hAnsi="Arial"/>
          <w:sz w:val="18"/>
          <w:szCs w:val="18"/>
          <w:color w:val="auto"/>
        </w:rPr>
        <w:t>The primary impact of the Company’s adoption of ASC 606 resulted from the acceleration of the timing of revenue recognition on sales to distributors. The Company previously deferred revenue and cost of revenue on such sales until the distributors sold the product to the end customers. The Company now recognizes revenue at the time of sale to the distributor provided all other revenue recognition criteria have been met. The Company records a right of return asset and a returns liability in place of the deferred income on shipments to distributors previously recorded under ASC 605.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18" w:lineRule="exact"/>
        <w:rPr>
          <w:sz w:val="20"/>
          <w:szCs w:val="20"/>
          <w:color w:val="auto"/>
        </w:rPr>
      </w:pPr>
    </w:p>
    <w:p>
      <w:pPr>
        <w:ind w:right="240" w:firstLine="319"/>
        <w:spacing w:after="0" w:line="266" w:lineRule="auto"/>
        <w:rPr>
          <w:sz w:val="20"/>
          <w:szCs w:val="20"/>
          <w:color w:val="auto"/>
        </w:rPr>
      </w:pPr>
      <w:r>
        <w:rPr>
          <w:rFonts w:ascii="Arial" w:cs="Arial" w:eastAsia="Arial" w:hAnsi="Arial"/>
          <w:sz w:val="18"/>
          <w:szCs w:val="18"/>
          <w:color w:val="auto"/>
        </w:rPr>
        <w:t>The fair values of the Company's financial instruments are recorded using a hierarchical disclosure framework based upon the level of subjectivity of the inputs used in measuring assets and liabilities. The three levels are described below:</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18" w:lineRule="exact"/>
        <w:rPr>
          <w:sz w:val="20"/>
          <w:szCs w:val="20"/>
          <w:color w:val="auto"/>
        </w:rPr>
      </w:pPr>
    </w:p>
    <w:p>
      <w:pPr>
        <w:ind w:left="320" w:right="80"/>
        <w:spacing w:after="0" w:line="266" w:lineRule="auto"/>
        <w:rPr>
          <w:sz w:val="20"/>
          <w:szCs w:val="20"/>
          <w:color w:val="auto"/>
        </w:rPr>
      </w:pPr>
      <w:r>
        <w:rPr>
          <w:rFonts w:ascii="Arial" w:cs="Arial" w:eastAsia="Arial" w:hAnsi="Arial"/>
          <w:sz w:val="18"/>
          <w:szCs w:val="18"/>
          <w:color w:val="auto"/>
        </w:rPr>
        <w:t>Level 2 - Inputs are inputs other than quoted prices included within Level 1 that are observable for the asset or liability, either directly or indirectly.</w:t>
      </w:r>
    </w:p>
    <w:p>
      <w:pPr>
        <w:spacing w:after="0" w:line="179" w:lineRule="exact"/>
        <w:rPr>
          <w:sz w:val="20"/>
          <w:szCs w:val="20"/>
          <w:color w:val="auto"/>
        </w:rPr>
      </w:pPr>
    </w:p>
    <w:p>
      <w:pPr>
        <w:ind w:left="320"/>
        <w:spacing w:after="0" w:line="266" w:lineRule="auto"/>
        <w:rPr>
          <w:sz w:val="20"/>
          <w:szCs w:val="20"/>
          <w:color w:val="auto"/>
        </w:rPr>
      </w:pPr>
      <w:r>
        <w:rPr>
          <w:rFonts w:ascii="Arial" w:cs="Arial" w:eastAsia="Arial" w:hAnsi="Arial"/>
          <w:sz w:val="18"/>
          <w:szCs w:val="18"/>
          <w:color w:val="auto"/>
        </w:rPr>
        <w:t>Level 3 - Inputs are unobservable for the asset or liability and are developed based on the best information available in the circumstances, which might include the Company’s own data.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8" w:lineRule="exact"/>
        <w:rPr>
          <w:sz w:val="20"/>
          <w:szCs w:val="20"/>
          <w:color w:val="auto"/>
        </w:rPr>
      </w:pPr>
    </w:p>
    <w:p>
      <w:pPr>
        <w:ind w:right="220" w:firstLine="319"/>
        <w:spacing w:after="0" w:line="266" w:lineRule="auto"/>
        <w:rPr>
          <w:sz w:val="20"/>
          <w:szCs w:val="20"/>
          <w:color w:val="auto"/>
        </w:rPr>
      </w:pPr>
      <w:r>
        <w:rPr>
          <w:rFonts w:ascii="Arial" w:cs="Arial" w:eastAsia="Arial" w:hAnsi="Arial"/>
          <w:sz w:val="18"/>
          <w:szCs w:val="18"/>
          <w:color w:val="auto"/>
        </w:rPr>
        <w:t>Cash and cash equivalents consist of cash deposits, certificates of deposit, money market funds and investments in debt securities with original maturities of ninety days or less when purchased.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78" w:lineRule="exact"/>
        <w:rPr>
          <w:sz w:val="20"/>
          <w:szCs w:val="20"/>
          <w:color w:val="auto"/>
        </w:rPr>
      </w:pPr>
    </w:p>
    <w:p>
      <w:pPr>
        <w:ind w:right="60" w:firstLine="319"/>
        <w:spacing w:after="0" w:line="249" w:lineRule="auto"/>
        <w:rPr>
          <w:sz w:val="20"/>
          <w:szCs w:val="20"/>
          <w:color w:val="auto"/>
        </w:rPr>
      </w:pPr>
      <w:r>
        <w:rPr>
          <w:rFonts w:ascii="Arial" w:cs="Arial" w:eastAsia="Arial" w:hAnsi="Arial"/>
          <w:sz w:val="18"/>
          <w:szCs w:val="18"/>
          <w:color w:val="auto"/>
        </w:rPr>
        <w:t>The Company's investments typically have original maturities greater than ninety days as of the date of purchase and are classified as either available- for-sale or trading securities. Investments in available-for-sale securities are reported at fair value, with unrealized gains and losses, net of tax, recorded as a component of accumulated other comprehensive income (loss) in the Consolidated Balance Sheet. Investments in trading securities are reported at fair value, with both realized and unrealized gains and losses recorded in interest income and other, net in the Consolidated Statement of Income. Investments in which the Company has the ability and intent, if necessary, to liquidate in order to support its current operations (including those with contractual maturities greater than one year from the date of purchase) are classified as short-term.</w:t>
      </w:r>
    </w:p>
    <w:p>
      <w:pPr>
        <w:sectPr>
          <w:pgSz w:w="11900" w:h="16838" w:orient="portrait"/>
          <w:cols w:equalWidth="0" w:num="1">
            <w:col w:w="10060"/>
          </w:cols>
          <w:pgMar w:left="920" w:top="513" w:right="91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4" w:lineRule="exact"/>
        <w:rPr>
          <w:sz w:val="20"/>
          <w:szCs w:val="20"/>
          <w:color w:val="auto"/>
        </w:rPr>
      </w:pPr>
    </w:p>
    <w:p>
      <w:pPr>
        <w:ind w:right="20" w:firstLine="319"/>
        <w:spacing w:after="0" w:line="283" w:lineRule="auto"/>
        <w:rPr>
          <w:sz w:val="20"/>
          <w:szCs w:val="20"/>
          <w:color w:val="auto"/>
        </w:rPr>
      </w:pPr>
      <w:r>
        <w:rPr>
          <w:rFonts w:ascii="Arial" w:cs="Arial" w:eastAsia="Arial" w:hAnsi="Arial"/>
          <w:sz w:val="16"/>
          <w:szCs w:val="16"/>
          <w:color w:val="auto"/>
        </w:rPr>
        <w:t>The Company reviews its available-for-sale investments as of the end of each reporting period for other-than-temporary declines in fair value based on the specific identification method. The Company considers various factors in determining whether an impairment is other-than-temporary, including the severity and duration of the impairment, changes in underlying credit ratings, forecasted recovery, its intent to sell or the likelihood that it would be required to sell the investment before its anticipated recovery in market value and the probability that the scheduled cash payments will continue to be made. When the Company concludes that an other-than-temporary impairment has occurred, the Company assesses whether it intends to sell the security or if it is more likely than not that it will be required to sell the security before recovery. If either of these two conditions is met, the Company recognizes a charge in earnings equal to the entire difference between the security’s amortized cost basis and its fair value. If the Company does not intend to sell a security and it is not more likely than not that it will be required to sell the security before recovery, the unrealized loss is separated into an amount representing the credit loss, which is recognized in earnings, and the amount related to all other factors, which is recorded in accumulated other comprehensive income (loss).</w:t>
      </w:r>
    </w:p>
    <w:p>
      <w:pPr>
        <w:spacing w:after="0" w:line="169" w:lineRule="exact"/>
        <w:rPr>
          <w:sz w:val="20"/>
          <w:szCs w:val="20"/>
          <w:color w:val="auto"/>
        </w:rPr>
      </w:pPr>
    </w:p>
    <w:p>
      <w:pPr>
        <w:ind w:right="140" w:firstLine="319"/>
        <w:spacing w:after="0" w:line="266" w:lineRule="auto"/>
        <w:rPr>
          <w:sz w:val="20"/>
          <w:szCs w:val="20"/>
          <w:color w:val="auto"/>
        </w:rPr>
      </w:pPr>
      <w:r>
        <w:rPr>
          <w:rFonts w:ascii="Arial" w:cs="Arial" w:eastAsia="Arial" w:hAnsi="Arial"/>
          <w:sz w:val="17"/>
          <w:szCs w:val="17"/>
          <w:color w:val="auto"/>
        </w:rPr>
        <w:t>In addition, the Company has made equity investments in non-publicly traded companies. Equity investments in which the Company does not have control, but has the ability to exercise significant influence over operating and financial policies, are accounted for using the equity method. The Company’s proportionate share of income or loss is recorded in interest income and other, net in the Consolidated Statement of Income. All other non-marketable equity investments are recorded at cost minus impairment, if any, plus or minus changes resulting from qualifying observable price changes. The Company periodically reviews its equity investments for other-than-temporary declines in fair value based on the specific identification method and writes down investments to their fair values when it determines that an other-than-temporary decline has occurred.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18" w:lineRule="exact"/>
        <w:rPr>
          <w:sz w:val="20"/>
          <w:szCs w:val="20"/>
          <w:color w:val="auto"/>
        </w:rPr>
      </w:pPr>
    </w:p>
    <w:p>
      <w:pPr>
        <w:ind w:firstLine="319"/>
        <w:spacing w:after="0" w:line="290" w:lineRule="auto"/>
        <w:rPr>
          <w:sz w:val="20"/>
          <w:szCs w:val="20"/>
          <w:color w:val="auto"/>
        </w:rPr>
      </w:pPr>
      <w:r>
        <w:rPr>
          <w:rFonts w:ascii="Arial" w:cs="Arial" w:eastAsia="Arial" w:hAnsi="Arial"/>
          <w:sz w:val="16"/>
          <w:szCs w:val="16"/>
          <w:color w:val="auto"/>
        </w:rPr>
        <w:t>The Company uses derivative financial instruments to manage certain exposures to the variability of foreign currency exchange rates and interest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Consolidated Balance Sheet at fair value. Cash flows from derivatives are classified according to the nature of the cash receipt or payment in the Consolidated Statement of Cash Flows.</w:t>
      </w:r>
    </w:p>
    <w:p>
      <w:pPr>
        <w:spacing w:after="0" w:line="164" w:lineRule="exact"/>
        <w:rPr>
          <w:sz w:val="20"/>
          <w:szCs w:val="20"/>
          <w:color w:val="auto"/>
        </w:rPr>
      </w:pPr>
    </w:p>
    <w:p>
      <w:pPr>
        <w:ind w:right="80" w:firstLine="319"/>
        <w:spacing w:after="0" w:line="303" w:lineRule="auto"/>
        <w:rPr>
          <w:sz w:val="20"/>
          <w:szCs w:val="20"/>
          <w:color w:val="auto"/>
        </w:rPr>
      </w:pPr>
      <w:r>
        <w:rPr>
          <w:rFonts w:ascii="Arial" w:cs="Arial" w:eastAsia="Arial" w:hAnsi="Arial"/>
          <w:sz w:val="16"/>
          <w:szCs w:val="16"/>
          <w:color w:val="auto"/>
        </w:rPr>
        <w:t>Cash flow hedges used by the Company include foreign currency forward contracts and interest rate swap agreements. Foreign currency forward contracts are used to reduce the earnings impact that exchange rate fluctuations have on operating expenses denominated in currencies other than the U.S. dollar. Interest rate swap agreements are used to manage exposure to interest rate risks.</w:t>
      </w:r>
    </w:p>
    <w:p>
      <w:pPr>
        <w:spacing w:after="0" w:line="154" w:lineRule="exact"/>
        <w:rPr>
          <w:sz w:val="20"/>
          <w:szCs w:val="20"/>
          <w:color w:val="auto"/>
        </w:rPr>
      </w:pPr>
    </w:p>
    <w:p>
      <w:pPr>
        <w:ind w:right="240" w:firstLine="319"/>
        <w:spacing w:after="0" w:line="329" w:lineRule="auto"/>
        <w:rPr>
          <w:sz w:val="20"/>
          <w:szCs w:val="20"/>
          <w:color w:val="auto"/>
        </w:rPr>
      </w:pPr>
      <w:r>
        <w:rPr>
          <w:rFonts w:ascii="Arial" w:cs="Arial" w:eastAsia="Arial" w:hAnsi="Arial"/>
          <w:sz w:val="16"/>
          <w:szCs w:val="16"/>
          <w:color w:val="auto"/>
        </w:rPr>
        <w:t>The Company also uses foreign currency forward contracts to reduce the earnings impact that exchange rate fluctuations have on non-U.S. dollar balance sheet exposures. The Company does not apply hedge accounting to these foreign currency forward contracts.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18" w:lineRule="exact"/>
        <w:rPr>
          <w:sz w:val="20"/>
          <w:szCs w:val="20"/>
          <w:color w:val="auto"/>
        </w:rPr>
      </w:pPr>
    </w:p>
    <w:p>
      <w:pPr>
        <w:jc w:val="both"/>
        <w:ind w:right="140" w:firstLine="319"/>
        <w:spacing w:after="0" w:line="294" w:lineRule="auto"/>
        <w:rPr>
          <w:sz w:val="20"/>
          <w:szCs w:val="20"/>
          <w:color w:val="auto"/>
        </w:rPr>
      </w:pPr>
      <w:r>
        <w:rPr>
          <w:rFonts w:ascii="Arial" w:cs="Arial" w:eastAsia="Arial" w:hAnsi="Arial"/>
          <w:sz w:val="16"/>
          <w:szCs w:val="16"/>
          <w:color w:val="auto"/>
        </w:rPr>
        <w:t>Inventories are stated at the lower of cost, determined using the first-in, first-out method, or net realizable value. The Company writes down the carrying value of inventory to net realizable value for estimated obsolescence or unmarketable inventory based upon assumptions about the age of inventory, future demand and market conditions. Inventory impairment charges establish a new cost basis for inventory and charges are not subsequently reversed to income even if circumstances later suggest that increased carrying amounts are recoverable.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18" w:lineRule="exact"/>
        <w:rPr>
          <w:sz w:val="20"/>
          <w:szCs w:val="20"/>
          <w:color w:val="auto"/>
        </w:rPr>
      </w:pPr>
    </w:p>
    <w:p>
      <w:pPr>
        <w:ind w:right="40" w:firstLine="319"/>
        <w:spacing w:after="0" w:line="256" w:lineRule="auto"/>
        <w:rPr>
          <w:sz w:val="20"/>
          <w:szCs w:val="20"/>
          <w:color w:val="auto"/>
        </w:rPr>
      </w:pPr>
      <w:r>
        <w:rPr>
          <w:rFonts w:ascii="Arial" w:cs="Arial" w:eastAsia="Arial" w:hAnsi="Arial"/>
          <w:sz w:val="18"/>
          <w:szCs w:val="18"/>
          <w:color w:val="auto"/>
        </w:rPr>
        <w:t>Property and equipment are stated at cost, net of accumulated depreciation. Depreciation is computed using the straight-line method over the useful lives of the assets ranging from three to fifteen years. Leasehold improvements are depreciated over the lease term or their useful life, whichever is shorter.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4" w:lineRule="exact"/>
        <w:rPr>
          <w:sz w:val="20"/>
          <w:szCs w:val="20"/>
          <w:color w:val="auto"/>
        </w:rPr>
      </w:pPr>
    </w:p>
    <w:p>
      <w:pPr>
        <w:ind w:firstLine="319"/>
        <w:spacing w:after="0" w:line="253" w:lineRule="auto"/>
        <w:rPr>
          <w:sz w:val="20"/>
          <w:szCs w:val="20"/>
          <w:color w:val="auto"/>
        </w:rPr>
      </w:pPr>
      <w:r>
        <w:rPr>
          <w:rFonts w:ascii="Arial" w:cs="Arial" w:eastAsia="Arial" w:hAnsi="Arial"/>
          <w:sz w:val="18"/>
          <w:szCs w:val="18"/>
          <w:color w:val="auto"/>
        </w:rPr>
        <w:t>The Company owns the facilities it had previously leased for its headquarters in Austin, Texas. The buildings are located on land which is leased through 2099 from a third party. The rents for these ground leases were prepaid for the term of the leases by the previous lessee. The buildings and leasehold interest in ground leases are being depreciated on a straight-line basis over their estimated useful lives of 40 years and 86 years,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18" w:lineRule="exact"/>
        <w:rPr>
          <w:sz w:val="20"/>
          <w:szCs w:val="20"/>
          <w:color w:val="auto"/>
        </w:rPr>
      </w:pPr>
    </w:p>
    <w:p>
      <w:pPr>
        <w:ind w:right="220" w:firstLine="319"/>
        <w:spacing w:after="0" w:line="251" w:lineRule="auto"/>
        <w:rPr>
          <w:sz w:val="20"/>
          <w:szCs w:val="20"/>
          <w:color w:val="auto"/>
        </w:rPr>
      </w:pPr>
      <w:r>
        <w:rPr>
          <w:rFonts w:ascii="Arial" w:cs="Arial" w:eastAsia="Arial" w:hAnsi="Arial"/>
          <w:sz w:val="18"/>
          <w:szCs w:val="18"/>
          <w:color w:val="auto"/>
        </w:rPr>
        <w:t>The Company records business combinations using the acquisition method of accounting and, accordingly, allocates the fair value of purchase consideration to the assets acquired and liabilities assumed based on their fair values at the acquisition date. The excess of the fair value of purchase consideration over the fair value of the assets acquired and liabilities assumed is recorded as goodwill. The results of operations of the businesses acquired are included in the Company's consolidated results of operations beginning on the date of the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18" w:lineRule="exact"/>
        <w:rPr>
          <w:sz w:val="20"/>
          <w:szCs w:val="20"/>
          <w:color w:val="auto"/>
        </w:rPr>
      </w:pPr>
    </w:p>
    <w:p>
      <w:pPr>
        <w:ind w:right="120" w:firstLine="319"/>
        <w:spacing w:after="0" w:line="256" w:lineRule="auto"/>
        <w:rPr>
          <w:sz w:val="20"/>
          <w:szCs w:val="20"/>
          <w:color w:val="auto"/>
        </w:rPr>
      </w:pPr>
      <w:r>
        <w:rPr>
          <w:rFonts w:ascii="Arial" w:cs="Arial" w:eastAsia="Arial" w:hAnsi="Arial"/>
          <w:sz w:val="18"/>
          <w:szCs w:val="18"/>
          <w:color w:val="auto"/>
        </w:rPr>
        <w:t>Purchased intangible assets are stated at cost, net of accumulated amortization, and are amortized using the straight-line method over their estimated useful lives, ranging from four to twelve years. Fair values are determined primarily using the income approach, in which the Company projects future expected cash flows and applies an appropriate discount rate.</w:t>
      </w:r>
    </w:p>
    <w:p>
      <w:pPr>
        <w:spacing w:after="0" w:line="188" w:lineRule="exact"/>
        <w:rPr>
          <w:sz w:val="20"/>
          <w:szCs w:val="20"/>
          <w:color w:val="auto"/>
        </w:rPr>
      </w:pPr>
    </w:p>
    <w:p>
      <w:pPr>
        <w:ind w:right="160" w:firstLine="319"/>
        <w:spacing w:after="0" w:line="251" w:lineRule="auto"/>
        <w:rPr>
          <w:sz w:val="20"/>
          <w:szCs w:val="20"/>
          <w:color w:val="auto"/>
        </w:rPr>
      </w:pPr>
      <w:r>
        <w:rPr>
          <w:rFonts w:ascii="Arial" w:cs="Arial" w:eastAsia="Arial" w:hAnsi="Arial"/>
          <w:sz w:val="18"/>
          <w:szCs w:val="18"/>
          <w:color w:val="auto"/>
        </w:rPr>
        <w:t>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w:t>
      </w:r>
    </w:p>
    <w:p>
      <w:pPr>
        <w:spacing w:after="0" w:line="193" w:lineRule="exact"/>
        <w:rPr>
          <w:sz w:val="20"/>
          <w:szCs w:val="20"/>
          <w:color w:val="auto"/>
        </w:rPr>
      </w:pPr>
    </w:p>
    <w:p>
      <w:pPr>
        <w:ind w:right="80" w:firstLine="319"/>
        <w:spacing w:after="0" w:line="266" w:lineRule="auto"/>
        <w:rPr>
          <w:sz w:val="20"/>
          <w:szCs w:val="20"/>
          <w:color w:val="auto"/>
        </w:rPr>
      </w:pPr>
      <w:r>
        <w:rPr>
          <w:rFonts w:ascii="Arial" w:cs="Arial" w:eastAsia="Arial" w:hAnsi="Arial"/>
          <w:sz w:val="17"/>
          <w:szCs w:val="17"/>
          <w:color w:val="auto"/>
        </w:rPr>
        <w:t>The carrying value of goodwill is reviewed at least annually by the Company for possible impairment. The goodwill impairment test is a two-step process. The first step of the impairment analysis compares the fair value of the reporting unit to the net book value of the reporting unit. In determining fair value, several valuation methodologies are allowed, although quoted market prices are the best evidence of fair value. If the results of the first step demonstrate that the net book value is greater than the fair value, the Company must proceed to step two of the analysis. Step two of the analysis compares the implied fair value of goodwill to its carrying amount. If the carrying amount of goodwill exceeds its implied fair value, an impairment loss is recognized equal to that excess. The Company tests goodwill for impairment annually as of the first day of its fourth fiscal quarter and in interim periods if events occur that would indicate that the carrying value of goodwill may be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8" w:lineRule="exact"/>
        <w:rPr>
          <w:sz w:val="20"/>
          <w:szCs w:val="20"/>
          <w:color w:val="auto"/>
        </w:rPr>
      </w:pPr>
    </w:p>
    <w:p>
      <w:pPr>
        <w:ind w:right="100" w:firstLine="319"/>
        <w:spacing w:after="0" w:line="286" w:lineRule="auto"/>
        <w:rPr>
          <w:sz w:val="20"/>
          <w:szCs w:val="20"/>
          <w:color w:val="auto"/>
        </w:rPr>
      </w:pPr>
      <w:r>
        <w:rPr>
          <w:rFonts w:ascii="Arial" w:cs="Arial" w:eastAsia="Arial" w:hAnsi="Arial"/>
          <w:sz w:val="16"/>
          <w:szCs w:val="16"/>
          <w:color w:val="auto"/>
        </w:rPr>
        <w:t>At the commencement date of a lease, the Company recognizes a liability to make lease payments and an asset representing the right to use the underlying asset during the lease term. The lease liability is measured at the present value of lease payments over the lease term. As its leases typically do not provide an implicit rate, the Company uses its incremental borrowing rate based on the information available at the commencement date taking into consideration necessary adjustments for collateral, depending on the facts and circumstances of the lessee and the leased asset, and term to match the lease term. The right-of-use (“ROU”) asset is measured at cost, which includes the initial measurement of the lease liability and initial direct costs incurred by the Company and excludes lease incentives. Lease liabilities are recorded in other current liabilities and other non-current liabilities. ROU assets are recorded in other assets, net.</w:t>
      </w:r>
    </w:p>
    <w:p>
      <w:pPr>
        <w:spacing w:after="0" w:line="166" w:lineRule="exact"/>
        <w:rPr>
          <w:sz w:val="20"/>
          <w:szCs w:val="20"/>
          <w:color w:val="auto"/>
        </w:rPr>
      </w:pPr>
    </w:p>
    <w:p>
      <w:pPr>
        <w:ind w:right="280" w:firstLine="319"/>
        <w:spacing w:after="0" w:line="256" w:lineRule="auto"/>
        <w:rPr>
          <w:sz w:val="20"/>
          <w:szCs w:val="20"/>
          <w:color w:val="auto"/>
        </w:rPr>
      </w:pPr>
      <w:r>
        <w:rPr>
          <w:rFonts w:ascii="Arial" w:cs="Arial" w:eastAsia="Arial" w:hAnsi="Arial"/>
          <w:sz w:val="18"/>
          <w:szCs w:val="18"/>
          <w:color w:val="auto"/>
        </w:rPr>
        <w:t>Lease terms may include options to extend or terminate the lease when it is reasonably certain that the Company will exercise that option. Operating lease costs are recognized on a straight-line basis over the lease term. Lease agreements that contain both lease and non-lease components are generally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8" w:lineRule="exact"/>
        <w:rPr>
          <w:sz w:val="20"/>
          <w:szCs w:val="20"/>
          <w:color w:val="auto"/>
        </w:rPr>
      </w:pPr>
    </w:p>
    <w:p>
      <w:pPr>
        <w:ind w:firstLine="319"/>
        <w:spacing w:after="0" w:line="287" w:lineRule="auto"/>
        <w:rPr>
          <w:sz w:val="20"/>
          <w:szCs w:val="20"/>
          <w:color w:val="auto"/>
        </w:rPr>
      </w:pPr>
      <w:r>
        <w:rPr>
          <w:rFonts w:ascii="Arial" w:cs="Arial" w:eastAsia="Arial" w:hAnsi="Arial"/>
          <w:sz w:val="16"/>
          <w:szCs w:val="16"/>
          <w:color w:val="auto"/>
        </w:rPr>
        <w:t>Revenue is recognized when control of the promised goods or services is transferred to customers, in an amount that reflects the consideration the Company expects to be entitled to in exchange for those goods or services. Substantially all of the Company’s contracts with customers contain a single performance obligation, the sale of mixed-signal integrated circuit (IC) products. This performance obligation is satisfied when control of the product is transferred to the customer, which typically occurs upon delivery. Unsatisfied performance obligations primarily represent contracts for products with future delivery dates. The Company has opted to not disclose the amount of unsatisfied performance obligations as these contracts have original expected durations of less than one year.</w:t>
      </w:r>
    </w:p>
    <w:p>
      <w:pPr>
        <w:spacing w:after="0" w:line="168" w:lineRule="exact"/>
        <w:rPr>
          <w:sz w:val="20"/>
          <w:szCs w:val="20"/>
          <w:color w:val="auto"/>
        </w:rPr>
      </w:pPr>
    </w:p>
    <w:p>
      <w:pPr>
        <w:ind w:right="120" w:firstLine="319"/>
        <w:spacing w:after="0" w:line="283" w:lineRule="auto"/>
        <w:rPr>
          <w:sz w:val="20"/>
          <w:szCs w:val="20"/>
          <w:color w:val="auto"/>
        </w:rPr>
      </w:pPr>
      <w:r>
        <w:rPr>
          <w:rFonts w:ascii="Arial" w:cs="Arial" w:eastAsia="Arial" w:hAnsi="Arial"/>
          <w:sz w:val="16"/>
          <w:szCs w:val="16"/>
          <w:color w:val="auto"/>
        </w:rPr>
        <w:t>The transaction price reflects the Company’s expectations about the consideration it will be entitled to receive from the customer and may include fixed or variable amounts. Variable consideration primarily includes sales made to distributors under agreements allowing certain rights of return, referred to as stock rotation, and credits issued to the distributor due to price protection. The Company estimates variable consideration at the most likely amount to which it expects to be entitled. The estimate is based on information available to the Company, including recent sales activity and pricing data. The Company applies a constraint to its variable consideration estimate which considers both the likelihood of a return and the amount of a potential price concession. Variable consideration that does not meet revenue recognition criteria is deferred. The Company records a right of return asset in prepaid expenses and other current assets for the costs of distributor inventory not meeting revenue recognition criteria. A corresponding deferred revenue and returns liability amount is recorded for unrecognized revenue associated with such costs. The Company’s products carry a one-year replacement warranty. Payments are typically due within 30 days of invoicing and do not include a significant financing component.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Shipping and handling costs are classified as a component of cost of revenues in the Consolidated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18" w:lineRule="exact"/>
        <w:rPr>
          <w:sz w:val="20"/>
          <w:szCs w:val="20"/>
          <w:color w:val="auto"/>
        </w:rPr>
      </w:pPr>
    </w:p>
    <w:p>
      <w:pPr>
        <w:ind w:right="640" w:firstLine="319"/>
        <w:spacing w:after="0" w:line="410" w:lineRule="auto"/>
        <w:rPr>
          <w:sz w:val="20"/>
          <w:szCs w:val="20"/>
          <w:color w:val="auto"/>
        </w:rPr>
      </w:pPr>
      <w:r>
        <w:rPr>
          <w:rFonts w:ascii="Arial" w:cs="Arial" w:eastAsia="Arial" w:hAnsi="Arial"/>
          <w:sz w:val="14"/>
          <w:szCs w:val="14"/>
          <w:color w:val="auto"/>
        </w:rPr>
        <w:t xml:space="preserve">The Company has stock-based compensation plans, which are more fully described in Note 15, </w:t>
      </w:r>
      <w:r>
        <w:rPr>
          <w:rFonts w:ascii="Arial" w:cs="Arial" w:eastAsia="Arial" w:hAnsi="Arial"/>
          <w:sz w:val="14"/>
          <w:szCs w:val="14"/>
          <w:i w:val="1"/>
          <w:iCs w:val="1"/>
          <w:color w:val="auto"/>
        </w:rPr>
        <w:t>Stock-Based Compensation</w:t>
      </w:r>
      <w:r>
        <w:rPr>
          <w:rFonts w:ascii="Arial" w:cs="Arial" w:eastAsia="Arial" w:hAnsi="Arial"/>
          <w:sz w:val="14"/>
          <w:szCs w:val="14"/>
          <w:color w:val="auto"/>
        </w:rPr>
        <w:t>. The Company accounts for those plans using a fair-value method and recognizes the expense in its Consolidated Statement of Income.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p>
      <w:pPr>
        <w:ind w:right="220" w:firstLine="319"/>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 consists primarily of personnel-related expenses, including stock-based compensation, as well as new product masks, external consulting and services costs, equipment tooling, equipment depreciation, amortization of intangible assets, and an allocated portion of our occupancy costs. Assets purchased to support the Company's ongoing research and development activities are capitalized when related to products which have achieved technological feasibility or have an alternative future use, and are amortized over their estimated useful lives.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18" w:lineRule="exact"/>
        <w:rPr>
          <w:sz w:val="20"/>
          <w:szCs w:val="20"/>
          <w:color w:val="auto"/>
        </w:rPr>
      </w:pPr>
    </w:p>
    <w:p>
      <w:pPr>
        <w:ind w:right="200" w:firstLine="319"/>
        <w:spacing w:after="0" w:line="266" w:lineRule="auto"/>
        <w:rPr>
          <w:sz w:val="20"/>
          <w:szCs w:val="20"/>
          <w:color w:val="auto"/>
        </w:rPr>
      </w:pPr>
      <w:r>
        <w:rPr>
          <w:rFonts w:ascii="Arial" w:cs="Arial" w:eastAsia="Arial" w:hAnsi="Arial"/>
          <w:sz w:val="18"/>
          <w:szCs w:val="18"/>
          <w:color w:val="auto"/>
        </w:rPr>
        <w:t>Advertising costs are expensed as incurred. Advertising expenses were $1.6 million, $1.9 million and $1.4 million in fiscal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8" w:lineRule="exact"/>
        <w:rPr>
          <w:sz w:val="20"/>
          <w:szCs w:val="20"/>
          <w:color w:val="auto"/>
        </w:rPr>
      </w:pPr>
    </w:p>
    <w:p>
      <w:pPr>
        <w:ind w:right="80" w:firstLine="319"/>
        <w:spacing w:after="0" w:line="28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 and liability account balances are determined based on differences between the financial reporting and the tax bases of assets and liabilities and are measured using the enacted tax laws and related rates that will be in effect when the differences are expected to reverse. These differences result in deferred tax assets and liabilities, which are included in the Company’s Consolidated Balance Sheet. The Company then assesses the likelihood that the deferred tax assets will be realized. A valuation allowance is established against deferred tax assets to the extent the Company believes that it is more likely than not that the deferred tax assets will not be realized, taking into consideration the level of historical taxable income and projections for future taxable income over the periods in which the temporary differences are deductible.</w:t>
      </w:r>
    </w:p>
    <w:p>
      <w:pPr>
        <w:spacing w:after="0" w:line="166" w:lineRule="exact"/>
        <w:rPr>
          <w:sz w:val="20"/>
          <w:szCs w:val="20"/>
          <w:color w:val="auto"/>
        </w:rPr>
      </w:pPr>
    </w:p>
    <w:p>
      <w:pPr>
        <w:ind w:right="100" w:firstLine="319"/>
        <w:spacing w:after="0" w:line="256" w:lineRule="auto"/>
        <w:rPr>
          <w:sz w:val="20"/>
          <w:szCs w:val="20"/>
          <w:color w:val="auto"/>
        </w:rPr>
      </w:pPr>
      <w:r>
        <w:rPr>
          <w:rFonts w:ascii="Arial" w:cs="Arial" w:eastAsia="Arial" w:hAnsi="Arial"/>
          <w:sz w:val="18"/>
          <w:szCs w:val="18"/>
          <w:color w:val="auto"/>
        </w:rPr>
        <w:t xml:space="preserve">Uncertain tax positions must meet a more-likely-than-not threshold to be recognized in the financial statements and the tax benefits recognized are measured based on the largest benefit that has a greater than 50% likelihood of being realized upon final settlement. See Note 17,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8" w:lineRule="exact"/>
        <w:rPr>
          <w:sz w:val="20"/>
          <w:szCs w:val="20"/>
          <w:color w:val="auto"/>
        </w:rPr>
      </w:pPr>
    </w:p>
    <w:p>
      <w:pPr>
        <w:ind w:right="140" w:firstLine="319"/>
        <w:spacing w:after="0" w:line="249"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No. 2017-04</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Intangibles—Goodwill and Other (Topic 350): Simplifying the Test for Goodwill Impairment. </w:t>
      </w:r>
      <w:r>
        <w:rPr>
          <w:rFonts w:ascii="Arial" w:cs="Arial" w:eastAsia="Arial" w:hAnsi="Arial"/>
          <w:sz w:val="18"/>
          <w:szCs w:val="18"/>
          <w:color w:val="auto"/>
        </w:rPr>
        <w:t>This ASU eliminates Step 2 from the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which previously measured an impairment loss by comparing the implied fair value of goodwill with its carrying amount. Instead, an entity should recognize an impairment charge for the amount by which the carrying value exceeds the reporting unit’s fair value, not to exceed the total amount of goodwill allocated to that reporting unit. This ASU is effective for annual or any interim goodwill impairment tests in fiscal years beginning after December 15, 2019. The Company expects that the adoption will not have a material impact on its financial statements.</w:t>
      </w:r>
    </w:p>
    <w:p>
      <w:pPr>
        <w:spacing w:after="0" w:line="198" w:lineRule="exact"/>
        <w:rPr>
          <w:sz w:val="20"/>
          <w:szCs w:val="20"/>
          <w:color w:val="auto"/>
        </w:rPr>
      </w:pPr>
    </w:p>
    <w:p>
      <w:pPr>
        <w:ind w:right="60" w:firstLine="319"/>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ASU requires instruments measured at amortized cost to be presented at the net amount expected to be collected.</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are also required to record allowances for available-for-sale debt securities rather than reduce the carrying amount. This ASU is effective for fiscal years beginning after December 15, 2019, including interim periods within those fiscal years. The Company expects that the adoption will not have a material impact on its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6"/>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8"/>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6"/>
              <w:spacing w:after="0" w:line="117" w:lineRule="exact"/>
              <w:rPr>
                <w:sz w:val="20"/>
                <w:szCs w:val="20"/>
                <w:color w:val="auto"/>
              </w:rPr>
            </w:pPr>
            <w:r>
              <w:rPr>
                <w:rFonts w:ascii="Arial" w:cs="Arial" w:eastAsia="Arial" w:hAnsi="Arial"/>
                <w:sz w:val="13"/>
                <w:szCs w:val="13"/>
                <w:b w:val="1"/>
                <w:bCs w:val="1"/>
                <w:color w:val="auto"/>
                <w:w w:val="99"/>
              </w:rPr>
              <w:t>December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12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19,265</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83,591</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47,092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earnings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Stock-based awards and convertible debt</w:t>
            </w: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Shares used in computing diluted earnings per share</w:t>
            </w: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44,290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44,044</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43,332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920" w:top="51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(Continued)</w:t>
      </w:r>
    </w:p>
    <w:p>
      <w:pPr>
        <w:spacing w:after="0" w:line="224"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color w:val="auto"/>
        </w:rPr>
        <w:t xml:space="preserve">The Company intends to settle the principal amount of its convertible senior notes in cash and any excess value in shares in the event of a conversion. Accordingly, shares issuable upon conversion of the principal amount have been excluded from the calculation of diluted earnings per share. If the market value of the notes under certain prescribed conditions exceeds the conversion amount, the excess is included in the denominator for the computation of diluted earnings per share using the treasury stock method. For fiscal 2019 and 2018, approximately 0.4 million shares and 0.1 million shares, respectively, were included in the denominator for the calculation of diluted earnings per share. For fiscal 2017, no such shares were included in the denominator for the calculation of diluted earnings per share. See Note 10, </w:t>
      </w:r>
      <w:r>
        <w:rPr>
          <w:rFonts w:ascii="Arial" w:cs="Arial" w:eastAsia="Arial" w:hAnsi="Arial"/>
          <w:sz w:val="17"/>
          <w:szCs w:val="17"/>
          <w:i w:val="1"/>
          <w:iCs w:val="1"/>
          <w:color w:val="auto"/>
        </w:rPr>
        <w:t>Debt</w:t>
      </w:r>
      <w:r>
        <w:rPr>
          <w:rFonts w:ascii="Arial" w:cs="Arial" w:eastAsia="Arial" w:hAnsi="Arial"/>
          <w:sz w:val="17"/>
          <w:szCs w:val="17"/>
          <w:color w:val="auto"/>
        </w:rPr>
        <w:t>, to the Consolidated Financial Statements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4" w:lineRule="exact"/>
        <w:rPr>
          <w:sz w:val="20"/>
          <w:szCs w:val="20"/>
          <w:color w:val="auto"/>
        </w:rPr>
      </w:pPr>
    </w:p>
    <w:p>
      <w:pPr>
        <w:ind w:right="100" w:firstLine="319"/>
        <w:spacing w:after="0" w:line="266" w:lineRule="auto"/>
        <w:rPr>
          <w:sz w:val="20"/>
          <w:szCs w:val="20"/>
          <w:color w:val="auto"/>
        </w:rPr>
      </w:pPr>
      <w:r>
        <w:rPr>
          <w:rFonts w:ascii="Arial" w:cs="Arial" w:eastAsia="Arial" w:hAnsi="Arial"/>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ind w:left="1000"/>
              <w:spacing w:after="0"/>
              <w:rPr>
                <w:sz w:val="20"/>
                <w:szCs w:val="20"/>
                <w:color w:val="auto"/>
              </w:rPr>
            </w:pPr>
            <w:r>
              <w:rPr>
                <w:rFonts w:ascii="Arial" w:cs="Arial" w:eastAsia="Arial" w:hAnsi="Arial"/>
                <w:sz w:val="14"/>
                <w:szCs w:val="14"/>
                <w:b w:val="1"/>
                <w:bCs w:val="1"/>
                <w:color w:val="auto"/>
                <w:w w:val="91"/>
              </w:rPr>
              <w:t>Fair Value Measurements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at December 28, 2019 Using</w:t>
            </w: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18"/>
              <w:spacing w:after="0" w:line="117"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280" w:type="dxa"/>
            <w:vAlign w:val="bottom"/>
            <w:gridSpan w:val="3"/>
          </w:tcPr>
          <w:p>
            <w:pPr>
              <w:jc w:val="center"/>
              <w:ind w:right="180"/>
              <w:spacing w:after="0" w:line="117" w:lineRule="exact"/>
              <w:rPr>
                <w:sz w:val="20"/>
                <w:szCs w:val="20"/>
                <w:color w:val="auto"/>
              </w:rPr>
            </w:pPr>
            <w:r>
              <w:rPr>
                <w:rFonts w:ascii="Arial" w:cs="Arial" w:eastAsia="Arial" w:hAnsi="Arial"/>
                <w:sz w:val="13"/>
                <w:szCs w:val="13"/>
                <w:b w:val="1"/>
                <w:bCs w:val="1"/>
                <w:color w:val="auto"/>
              </w:rPr>
              <w:t>Significant 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37"/>
              <w:spacing w:after="0" w:line="117" w:lineRule="exact"/>
              <w:rPr>
                <w:sz w:val="20"/>
                <w:szCs w:val="20"/>
                <w:color w:val="auto"/>
              </w:rPr>
            </w:pPr>
            <w:r>
              <w:rPr>
                <w:rFonts w:ascii="Arial" w:cs="Arial" w:eastAsia="Arial" w:hAnsi="Arial"/>
                <w:sz w:val="13"/>
                <w:szCs w:val="13"/>
                <w:b w:val="1"/>
                <w:bCs w:val="1"/>
                <w:color w:val="auto"/>
                <w:w w:val="96"/>
              </w:rPr>
              <w:t>Significant</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8"/>
              <w:spacing w:after="0" w:line="146"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92,379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1,325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93,704</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Government debt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86,682</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1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171,871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326,954</w:t>
            </w:r>
          </w:p>
        </w:tc>
        <w:tc>
          <w:tcPr>
            <w:tcW w:w="0" w:type="dxa"/>
            <w:vAlign w:val="bottom"/>
          </w:tcPr>
          <w:p>
            <w:pPr>
              <w:spacing w:after="0"/>
              <w:rPr>
                <w:sz w:val="1"/>
                <w:szCs w:val="1"/>
                <w:color w:val="auto"/>
              </w:rPr>
            </w:pPr>
          </w:p>
        </w:tc>
      </w:tr>
      <w:tr>
        <w:trPr>
          <w:trHeight w:val="206"/>
        </w:trPr>
        <w:tc>
          <w:tcPr>
            <w:tcW w:w="4940" w:type="dxa"/>
            <w:vAlign w:val="bottom"/>
            <w:gridSpan w:val="2"/>
          </w:tcPr>
          <w:p>
            <w:pPr>
              <w:spacing w:after="0" w:line="205" w:lineRule="exact"/>
              <w:rPr>
                <w:sz w:val="20"/>
                <w:szCs w:val="20"/>
                <w:color w:val="auto"/>
              </w:rPr>
            </w:pPr>
            <w:r>
              <w:rPr>
                <w:rFonts w:ascii="Arial" w:cs="Arial" w:eastAsia="Arial" w:hAnsi="Arial"/>
                <w:sz w:val="18"/>
                <w:szCs w:val="18"/>
                <w:color w:val="auto"/>
              </w:rPr>
              <w:t>Total short-term investments</w:t>
            </w: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85,189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413,636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498,825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Other assets,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Auction rate securities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06"/>
        </w:trPr>
        <w:tc>
          <w:tcPr>
            <w:tcW w:w="494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5,647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gridSpan w:val="2"/>
          </w:tcPr>
          <w:p>
            <w:pPr>
              <w:spacing w:after="0" w:line="206"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177,568</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414,961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5,647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598,176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ind w:left="1000"/>
              <w:spacing w:after="0"/>
              <w:rPr>
                <w:sz w:val="20"/>
                <w:szCs w:val="20"/>
                <w:color w:val="auto"/>
              </w:rPr>
            </w:pPr>
            <w:r>
              <w:rPr>
                <w:rFonts w:ascii="Arial" w:cs="Arial" w:eastAsia="Arial" w:hAnsi="Arial"/>
                <w:sz w:val="14"/>
                <w:szCs w:val="14"/>
                <w:b w:val="1"/>
                <w:bCs w:val="1"/>
                <w:color w:val="auto"/>
                <w:w w:val="92"/>
              </w:rPr>
              <w:t>Fair Value Measurements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at December 29, 2018 Using</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18"/>
              <w:spacing w:after="0" w:line="117"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300" w:type="dxa"/>
            <w:vAlign w:val="bottom"/>
            <w:gridSpan w:val="3"/>
          </w:tcPr>
          <w:p>
            <w:pPr>
              <w:jc w:val="center"/>
              <w:ind w:right="180"/>
              <w:spacing w:after="0" w:line="117" w:lineRule="exact"/>
              <w:rPr>
                <w:sz w:val="20"/>
                <w:szCs w:val="20"/>
                <w:color w:val="auto"/>
              </w:rPr>
            </w:pPr>
            <w:r>
              <w:rPr>
                <w:rFonts w:ascii="Arial" w:cs="Arial" w:eastAsia="Arial" w:hAnsi="Arial"/>
                <w:sz w:val="13"/>
                <w:szCs w:val="13"/>
                <w:b w:val="1"/>
                <w:bCs w:val="1"/>
                <w:color w:val="auto"/>
                <w:w w:val="99"/>
              </w:rPr>
              <w:t>Significant 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17" w:lineRule="exact"/>
              <w:rPr>
                <w:sz w:val="20"/>
                <w:szCs w:val="20"/>
                <w:color w:val="auto"/>
              </w:rPr>
            </w:pPr>
            <w:r>
              <w:rPr>
                <w:rFonts w:ascii="Arial" w:cs="Arial" w:eastAsia="Arial" w:hAnsi="Arial"/>
                <w:sz w:val="13"/>
                <w:szCs w:val="13"/>
                <w:b w:val="1"/>
                <w:bCs w:val="1"/>
                <w:color w:val="auto"/>
                <w:w w:val="99"/>
              </w:rPr>
              <w:t>Significant</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Active Markets for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89"/>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7"/>
              <w:spacing w:after="0" w:line="146"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8"/>
              <w:spacing w:after="0" w:line="146"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7"/>
              <w:spacing w:after="0" w:line="146"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(Level 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 debt securities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06"/>
        </w:trPr>
        <w:tc>
          <w:tcPr>
            <w:tcW w:w="4940" w:type="dxa"/>
            <w:vAlign w:val="bottom"/>
            <w:gridSpan w:val="3"/>
          </w:tcPr>
          <w:p>
            <w:pPr>
              <w:spacing w:after="0" w:line="205" w:lineRule="exact"/>
              <w:rPr>
                <w:sz w:val="20"/>
                <w:szCs w:val="20"/>
                <w:color w:val="auto"/>
              </w:rPr>
            </w:pPr>
            <w:r>
              <w:rPr>
                <w:rFonts w:ascii="Arial" w:cs="Arial" w:eastAsia="Arial" w:hAnsi="Arial"/>
                <w:sz w:val="18"/>
                <w:szCs w:val="18"/>
                <w:color w:val="auto"/>
              </w:rPr>
              <w:t>Total cash equivalents</w:t>
            </w: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84,328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18,820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206" w:lineRule="exact"/>
              <w:rPr>
                <w:sz w:val="20"/>
                <w:szCs w:val="20"/>
                <w:color w:val="auto"/>
              </w:rPr>
            </w:pPr>
            <w:r>
              <w:rPr>
                <w:rFonts w:ascii="Arial" w:cs="Arial" w:eastAsia="Arial" w:hAnsi="Arial"/>
                <w:sz w:val="18"/>
                <w:szCs w:val="18"/>
                <w:color w:val="auto"/>
              </w:rPr>
              <w:t>103,148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 debt securities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99,211</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269,427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 short-term investments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48,141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368,638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416,779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assets,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Auction rate securities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5,759</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Borders>
              <w:top w:val="single" w:sz="8" w:color="CCEEFF"/>
            </w:tcBorders>
            <w:gridSpan w:val="2"/>
            <w:shd w:val="clear" w:color="auto" w:fill="CCEEFF"/>
          </w:tcPr>
          <w:p>
            <w:pPr>
              <w:spacing w:after="0" w:line="205" w:lineRule="exact"/>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5,759</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13"/>
        </w:trPr>
        <w:tc>
          <w:tcPr>
            <w:tcW w:w="1640" w:type="dxa"/>
            <w:vAlign w:val="bottom"/>
            <w:gridSpan w:val="2"/>
          </w:tcPr>
          <w:p>
            <w:pPr>
              <w:spacing w:after="0"/>
              <w:rPr>
                <w:sz w:val="18"/>
                <w:szCs w:val="18"/>
                <w:color w:val="auto"/>
              </w:rPr>
            </w:pP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tcBorders>
              <w:top w:val="single" w:sz="8" w:color="CCEEFF"/>
              <w:bottom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132,469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387,458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5,759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525,686</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88"/>
              </w:rPr>
              <w:t>Valuation methodology</w:t>
            </w:r>
          </w:p>
        </w:tc>
        <w:tc>
          <w:tcPr>
            <w:tcW w:w="33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640" w:type="dxa"/>
            <w:vAlign w:val="bottom"/>
            <w:tcBorders>
              <w:bottom w:val="single" w:sz="8" w:color="auto"/>
            </w:tcBorders>
            <w:gridSpan w:val="2"/>
            <w:vMerge w:val="continue"/>
          </w:tcPr>
          <w:p>
            <w:pPr>
              <w:spacing w:after="0"/>
              <w:rPr>
                <w:sz w:val="24"/>
                <w:szCs w:val="24"/>
                <w:color w:val="auto"/>
              </w:rPr>
            </w:pPr>
          </w:p>
        </w:tc>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color w:val="auto"/>
        </w:rPr>
        <w:t>The Company’s cash equivalents and short-term investments that are classified as Level 2 are valued using non-binding market consensus prices that are corroborated with observable market data; quoted market prices for similar instruments in active markets; or pricing models, such as a discounted cash flow model, with all significant inputs derived from or corroborated with observable market data. Investments classified as Level 3 are valued using a discounted cash flow model. The assumptions used in preparing the discounted cash flow model include estimates for interest rates, amount of cash flows, expected holding periods of the securities and a discount to reflect the Company’s inability to liquidate the securities. The Company’s derivative instruments are valued using discounted cash flow models. The assumptions used in preparing the valuation models include foreign exchange rates, forward and spot prices for currencies, and market observable data of similar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Available-for-sale investments</w:t>
      </w:r>
    </w:p>
    <w:p>
      <w:pPr>
        <w:spacing w:after="0" w:line="218" w:lineRule="exact"/>
        <w:rPr>
          <w:sz w:val="20"/>
          <w:szCs w:val="20"/>
          <w:color w:val="auto"/>
        </w:rPr>
      </w:pPr>
    </w:p>
    <w:p>
      <w:pPr>
        <w:ind w:right="300" w:firstLine="319"/>
        <w:spacing w:after="0" w:line="278" w:lineRule="auto"/>
        <w:rPr>
          <w:sz w:val="20"/>
          <w:szCs w:val="20"/>
          <w:color w:val="auto"/>
        </w:rPr>
      </w:pPr>
      <w:r>
        <w:rPr>
          <w:rFonts w:ascii="Arial" w:cs="Arial" w:eastAsia="Arial" w:hAnsi="Arial"/>
          <w:sz w:val="17"/>
          <w:szCs w:val="17"/>
          <w:color w:val="auto"/>
        </w:rPr>
        <w:t>The Company's investments are reported at fair value, with unrealized gains and losses, net of tax, recorded as a component of accumulated other comprehensive income (loss) in the Consolidated Balance Sheet. The following summarizes the contractual underlying maturities of the Company’s available-for-sale investments at December 28, 2019 (in thousands):</w:t>
      </w:r>
    </w:p>
    <w:p>
      <w:pPr>
        <w:spacing w:after="0" w:line="15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Due in one year or less</w:t>
            </w:r>
          </w:p>
        </w:tc>
        <w:tc>
          <w:tcPr>
            <w:tcW w:w="1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381,583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382,259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Due after one year through ten years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196,702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197,370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1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5"/>
              </w:rPr>
              <w:t>597,185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5"/>
              </w:rPr>
              <w:t>598,176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(Continued)</w:t>
      </w:r>
    </w:p>
    <w:p>
      <w:pPr>
        <w:spacing w:after="0" w:line="224" w:lineRule="exact"/>
        <w:rPr>
          <w:sz w:val="20"/>
          <w:szCs w:val="20"/>
          <w:color w:val="auto"/>
        </w:rPr>
      </w:pPr>
    </w:p>
    <w:p>
      <w:pPr>
        <w:ind w:right="580" w:firstLine="319"/>
        <w:spacing w:after="0" w:line="266" w:lineRule="auto"/>
        <w:rPr>
          <w:sz w:val="20"/>
          <w:szCs w:val="20"/>
          <w:color w:val="auto"/>
        </w:rPr>
      </w:pPr>
      <w:r>
        <w:rPr>
          <w:rFonts w:ascii="Arial" w:cs="Arial" w:eastAsia="Arial" w:hAnsi="Arial"/>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ind w:left="8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ind w:left="60"/>
              <w:spacing w:after="0"/>
              <w:rPr>
                <w:sz w:val="20"/>
                <w:szCs w:val="20"/>
                <w:color w:val="auto"/>
              </w:rPr>
            </w:pPr>
            <w:r>
              <w:rPr>
                <w:rFonts w:ascii="Arial" w:cs="Arial" w:eastAsia="Arial" w:hAnsi="Arial"/>
                <w:sz w:val="14"/>
                <w:szCs w:val="14"/>
                <w:b w:val="1"/>
                <w:bCs w:val="1"/>
                <w:color w:val="auto"/>
              </w:rPr>
              <w:t>12 Months or Greater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6"/>
          </w:tcPr>
          <w:p>
            <w:pPr>
              <w:ind w:left="60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4"/>
                <w:szCs w:val="14"/>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38"/>
              <w:spacing w:after="0" w:line="117"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4"/>
                <w:szCs w:val="14"/>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98"/>
              <w:spacing w:after="0" w:line="117"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78"/>
              <w:spacing w:after="0" w:line="117" w:lineRule="exact"/>
              <w:rPr>
                <w:sz w:val="20"/>
                <w:szCs w:val="20"/>
                <w:color w:val="auto"/>
              </w:rPr>
            </w:pPr>
            <w:r>
              <w:rPr>
                <w:rFonts w:ascii="Arial" w:cs="Arial" w:eastAsia="Arial" w:hAnsi="Arial"/>
                <w:sz w:val="13"/>
                <w:szCs w:val="13"/>
                <w:b w:val="1"/>
                <w:bCs w:val="1"/>
                <w:color w:val="auto"/>
                <w:w w:val="95"/>
              </w:rPr>
              <w:t>Gross</w:t>
            </w:r>
          </w:p>
        </w:tc>
        <w:tc>
          <w:tcPr>
            <w:tcW w:w="0" w:type="dxa"/>
            <w:vAlign w:val="bottom"/>
          </w:tcPr>
          <w:p>
            <w:pPr>
              <w:spacing w:after="0"/>
              <w:rPr>
                <w:sz w:val="1"/>
                <w:szCs w:val="1"/>
                <w:color w:val="auto"/>
              </w:rPr>
            </w:pPr>
          </w:p>
        </w:tc>
      </w:tr>
      <w:tr>
        <w:trPr>
          <w:trHeight w:val="14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28, 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100"/>
              <w:spacing w:after="0" w:line="146"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60"/>
              <w:spacing w:after="0" w:line="146"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69"/>
        </w:trPr>
        <w:tc>
          <w:tcPr>
            <w:tcW w:w="4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7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06"/>
        </w:trPr>
        <w:tc>
          <w:tcPr>
            <w:tcW w:w="42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Government debt securities</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11,947</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7,183</w:t>
            </w: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19,130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80,063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line="20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line="20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12,850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line="20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92,913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6"/>
              </w:rPr>
              <w:t>Less Than 12 Months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12 Months or Greater</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240"/>
              <w:spacing w:after="0" w:line="117"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60"/>
              <w:spacing w:after="0" w:line="117"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78"/>
              <w:spacing w:after="0" w:line="117" w:lineRule="exact"/>
              <w:rPr>
                <w:sz w:val="20"/>
                <w:szCs w:val="20"/>
                <w:color w:val="auto"/>
              </w:rPr>
            </w:pPr>
            <w:r>
              <w:rPr>
                <w:rFonts w:ascii="Arial" w:cs="Arial" w:eastAsia="Arial" w:hAnsi="Arial"/>
                <w:sz w:val="13"/>
                <w:szCs w:val="13"/>
                <w:b w:val="1"/>
                <w:bCs w:val="1"/>
                <w:color w:val="auto"/>
                <w:w w:val="95"/>
              </w:rPr>
              <w:t>Gross</w:t>
            </w:r>
          </w:p>
        </w:tc>
        <w:tc>
          <w:tcPr>
            <w:tcW w:w="0" w:type="dxa"/>
            <w:vAlign w:val="bottom"/>
          </w:tcPr>
          <w:p>
            <w:pPr>
              <w:spacing w:after="0"/>
              <w:rPr>
                <w:sz w:val="1"/>
                <w:szCs w:val="1"/>
                <w:color w:val="auto"/>
              </w:rPr>
            </w:pPr>
          </w:p>
        </w:tc>
      </w:tr>
      <w:tr>
        <w:trPr>
          <w:trHeight w:val="14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29, 2018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80"/>
              <w:spacing w:after="0" w:line="146" w:lineRule="exact"/>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69"/>
        </w:trPr>
        <w:tc>
          <w:tcPr>
            <w:tcW w:w="42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Losses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7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06"/>
        </w:trPr>
        <w:tc>
          <w:tcPr>
            <w:tcW w:w="42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Government debt securities</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13,278</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88,696</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(583)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2"/>
              </w:rPr>
              <w:t>101,974</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112,699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189,009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6"/>
        </w:trPr>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w w:val="92"/>
              </w:rPr>
              <w:t>125,977</w:t>
            </w: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(283)</w:t>
            </w:r>
          </w:p>
        </w:tc>
        <w:tc>
          <w:tcPr>
            <w:tcW w:w="160" w:type="dxa"/>
            <w:vAlign w:val="bottom"/>
            <w:gridSpan w:val="2"/>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6" w:lineRule="exact"/>
              <w:rPr>
                <w:sz w:val="20"/>
                <w:szCs w:val="20"/>
                <w:color w:val="auto"/>
              </w:rPr>
            </w:pPr>
            <w:r>
              <w:rPr>
                <w:rFonts w:ascii="Arial" w:cs="Arial" w:eastAsia="Arial" w:hAnsi="Arial"/>
                <w:sz w:val="18"/>
                <w:szCs w:val="18"/>
                <w:color w:val="auto"/>
                <w:w w:val="92"/>
              </w:rPr>
              <w:t>170,765</w:t>
            </w: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(1,272)</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w w:val="92"/>
              </w:rPr>
              <w:t>296,742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6" w:lineRule="exact"/>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319"/>
        <w:spacing w:after="0" w:line="272" w:lineRule="auto"/>
        <w:rPr>
          <w:sz w:val="20"/>
          <w:szCs w:val="20"/>
          <w:color w:val="auto"/>
        </w:rPr>
      </w:pPr>
      <w:r>
        <w:rPr>
          <w:rFonts w:ascii="Arial" w:cs="Arial" w:eastAsia="Arial" w:hAnsi="Arial"/>
          <w:sz w:val="17"/>
          <w:szCs w:val="17"/>
          <w:color w:val="auto"/>
        </w:rPr>
        <w:t>The gross unrealized losses as of December 28, 2019 and December 29, 2018 were due primarily to changes in market interest rates and the illiquidity of the Company’s auction-rate securities. The Company’s auction-rate securities have been illiquid since 2008 when auctions for the securities failed because sell orders exceeded buy orders. These securities have a contractual maturity date of 2046. The Company is unable to predict if these funds will become available before their maturity date.</w:t>
      </w:r>
    </w:p>
    <w:p>
      <w:pPr>
        <w:spacing w:after="0" w:line="177" w:lineRule="exact"/>
        <w:rPr>
          <w:sz w:val="20"/>
          <w:szCs w:val="20"/>
          <w:color w:val="auto"/>
        </w:rPr>
      </w:pPr>
    </w:p>
    <w:p>
      <w:pPr>
        <w:ind w:right="80" w:firstLine="319"/>
        <w:spacing w:after="0" w:line="290" w:lineRule="auto"/>
        <w:rPr>
          <w:sz w:val="20"/>
          <w:szCs w:val="20"/>
          <w:color w:val="auto"/>
        </w:rPr>
      </w:pPr>
      <w:r>
        <w:rPr>
          <w:rFonts w:ascii="Arial" w:cs="Arial" w:eastAsia="Arial" w:hAnsi="Arial"/>
          <w:sz w:val="16"/>
          <w:szCs w:val="16"/>
          <w:color w:val="auto"/>
        </w:rPr>
        <w:t>The Company considers the declines in market value of its marketable securities investment portfolio to be temporary in nature. When evaluating an investment for other-than-temporary impairment, the Company reviews factors such as the severity and duration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December 28, 2019, the Company has determined that no other-than-temporary impairment losses existed.</w:t>
      </w:r>
    </w:p>
    <w:p>
      <w:pPr>
        <w:spacing w:after="0" w:line="164" w:lineRule="exact"/>
        <w:rPr>
          <w:sz w:val="20"/>
          <w:szCs w:val="20"/>
          <w:color w:val="auto"/>
        </w:rPr>
      </w:pPr>
    </w:p>
    <w:p>
      <w:pPr>
        <w:ind w:right="40" w:firstLine="319"/>
        <w:spacing w:after="0" w:line="266" w:lineRule="auto"/>
        <w:rPr>
          <w:sz w:val="20"/>
          <w:szCs w:val="20"/>
          <w:color w:val="auto"/>
        </w:rPr>
      </w:pPr>
      <w:r>
        <w:rPr>
          <w:rFonts w:ascii="Arial" w:cs="Arial" w:eastAsia="Arial" w:hAnsi="Arial"/>
          <w:sz w:val="18"/>
          <w:szCs w:val="18"/>
          <w:color w:val="auto"/>
        </w:rPr>
        <w:t>At December 28, 2019 and December 29, 2018, there were no material unrealized gains associated with the Company's available-for-sale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Level 3 fair value measurements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quantitative information about Level 3 fair value measurements.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Auction rate securities</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45"/>
              <w:spacing w:after="0"/>
              <w:rPr>
                <w:sz w:val="20"/>
                <w:szCs w:val="20"/>
                <w:color w:val="auto"/>
              </w:rPr>
            </w:pPr>
            <w:r>
              <w:rPr>
                <w:rFonts w:ascii="Arial" w:cs="Arial" w:eastAsia="Arial" w:hAnsi="Arial"/>
                <w:sz w:val="14"/>
                <w:szCs w:val="14"/>
                <w:b w:val="1"/>
                <w:bCs w:val="1"/>
                <w:color w:val="auto"/>
                <w:w w:val="93"/>
              </w:rPr>
              <w:t>Fair Value at</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vMerge w:val="restart"/>
          </w:tcPr>
          <w:p>
            <w:pPr>
              <w:jc w:val="right"/>
              <w:ind w:right="691"/>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ind w:right="145"/>
              <w:spacing w:after="0" w:line="146" w:lineRule="exact"/>
              <w:rPr>
                <w:sz w:val="20"/>
                <w:szCs w:val="20"/>
                <w:color w:val="auto"/>
              </w:rPr>
            </w:pPr>
            <w:r>
              <w:rPr>
                <w:rFonts w:ascii="Arial" w:cs="Arial" w:eastAsia="Arial" w:hAnsi="Arial"/>
                <w:sz w:val="14"/>
                <w:szCs w:val="14"/>
                <w:b w:val="1"/>
                <w:bCs w:val="1"/>
                <w:color w:val="auto"/>
                <w:w w:val="90"/>
              </w:rPr>
              <w:t>December 28, 2019</w:t>
            </w:r>
          </w:p>
        </w:tc>
        <w:tc>
          <w:tcPr>
            <w:tcW w:w="180" w:type="dxa"/>
            <w:vAlign w:val="bottom"/>
          </w:tcPr>
          <w:p>
            <w:pPr>
              <w:spacing w:after="0"/>
              <w:rPr>
                <w:sz w:val="12"/>
                <w:szCs w:val="12"/>
                <w:color w:val="auto"/>
              </w:rPr>
            </w:pPr>
          </w:p>
        </w:tc>
        <w:tc>
          <w:tcPr>
            <w:tcW w:w="18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180" w:type="dxa"/>
            <w:vAlign w:val="bottom"/>
          </w:tcPr>
          <w:p>
            <w:pPr>
              <w:spacing w:after="0"/>
              <w:rPr>
                <w:sz w:val="12"/>
                <w:szCs w:val="12"/>
                <w:color w:val="auto"/>
              </w:rPr>
            </w:pPr>
          </w:p>
        </w:tc>
        <w:tc>
          <w:tcPr>
            <w:tcW w:w="20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Unobservable Input</w:t>
            </w: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center"/>
              <w:ind w:right="165"/>
              <w:spacing w:after="0"/>
              <w:rPr>
                <w:sz w:val="20"/>
                <w:szCs w:val="20"/>
                <w:color w:val="auto"/>
              </w:rPr>
            </w:pPr>
            <w:r>
              <w:rPr>
                <w:rFonts w:ascii="Arial" w:cs="Arial" w:eastAsia="Arial" w:hAnsi="Arial"/>
                <w:sz w:val="14"/>
                <w:szCs w:val="14"/>
                <w:b w:val="1"/>
                <w:bCs w:val="1"/>
                <w:color w:val="auto"/>
                <w:w w:val="88"/>
              </w:rPr>
              <w:t>(000s)</w:t>
            </w:r>
          </w:p>
        </w:tc>
        <w:tc>
          <w:tcPr>
            <w:tcW w:w="1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980" w:type="dxa"/>
            <w:vAlign w:val="bottom"/>
            <w:gridSpan w:val="2"/>
          </w:tcPr>
          <w:p>
            <w:pPr>
              <w:jc w:val="right"/>
              <w:ind w:right="731"/>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5,647</w:t>
            </w:r>
          </w:p>
        </w:tc>
        <w:tc>
          <w:tcPr>
            <w:tcW w:w="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Discounted cash flow</w:t>
            </w:r>
          </w:p>
        </w:tc>
        <w:tc>
          <w:tcPr>
            <w:tcW w:w="1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Estimated yield</w:t>
            </w:r>
          </w:p>
        </w:tc>
        <w:tc>
          <w:tcPr>
            <w:tcW w:w="16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3.49</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80" w:type="dxa"/>
            <w:vAlign w:val="bottom"/>
            <w:gridSpan w:val="3"/>
          </w:tcPr>
          <w:p>
            <w:pPr>
              <w:ind w:left="180"/>
              <w:spacing w:after="0"/>
              <w:rPr>
                <w:sz w:val="20"/>
                <w:szCs w:val="20"/>
                <w:color w:val="auto"/>
              </w:rPr>
            </w:pPr>
            <w:r>
              <w:rPr>
                <w:rFonts w:ascii="Arial" w:cs="Arial" w:eastAsia="Arial" w:hAnsi="Arial"/>
                <w:sz w:val="18"/>
                <w:szCs w:val="18"/>
                <w:color w:val="auto"/>
              </w:rPr>
              <w:t>Expected holding period</w:t>
            </w:r>
          </w:p>
        </w:tc>
        <w:tc>
          <w:tcPr>
            <w:tcW w:w="1980" w:type="dxa"/>
            <w:vAlign w:val="bottom"/>
            <w:gridSpan w:val="2"/>
          </w:tcPr>
          <w:p>
            <w:pPr>
              <w:jc w:val="right"/>
              <w:ind w:right="131"/>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Estimated discount rate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(Continued)</w:t>
      </w:r>
    </w:p>
    <w:p>
      <w:pPr>
        <w:spacing w:after="0" w:line="224" w:lineRule="exact"/>
        <w:rPr>
          <w:sz w:val="20"/>
          <w:szCs w:val="20"/>
          <w:color w:val="auto"/>
        </w:rPr>
      </w:pPr>
    </w:p>
    <w:p>
      <w:pPr>
        <w:ind w:firstLine="319"/>
        <w:spacing w:after="0" w:line="287" w:lineRule="auto"/>
        <w:rPr>
          <w:sz w:val="20"/>
          <w:szCs w:val="20"/>
          <w:color w:val="auto"/>
        </w:rPr>
      </w:pPr>
      <w:r>
        <w:rPr>
          <w:rFonts w:ascii="Arial" w:cs="Arial" w:eastAsia="Arial" w:hAnsi="Arial"/>
          <w:sz w:val="16"/>
          <w:szCs w:val="16"/>
          <w:color w:val="auto"/>
        </w:rPr>
        <w:t>The Company has followed an established internal control procedure used in valuing auction rate securities. The procedure involves the analysis of valuation techniques and evaluation of unobservable inputs commonly used by market participants to price similar instruments, and which have been demonstrated to provide reasonable estimates of prices obtained in actual market transactions. Outputs from the valuation process are assessed against various market sources when they are available, including marketplace quotes, recent trades of similar illiquid securities, benchmark indices and independent pricing services. The technique and unobservable input parameters may be recalibrated periodically to achieve an appropriate estimation of the fair value of the securities.</w:t>
      </w:r>
    </w:p>
    <w:p>
      <w:pPr>
        <w:spacing w:after="0" w:line="128" w:lineRule="exact"/>
        <w:rPr>
          <w:sz w:val="20"/>
          <w:szCs w:val="20"/>
          <w:color w:val="auto"/>
        </w:rPr>
      </w:pPr>
    </w:p>
    <w:p>
      <w:pPr>
        <w:ind w:right="60" w:firstLine="319"/>
        <w:spacing w:after="0" w:line="251" w:lineRule="auto"/>
        <w:rPr>
          <w:sz w:val="20"/>
          <w:szCs w:val="20"/>
          <w:color w:val="auto"/>
        </w:rPr>
      </w:pPr>
      <w:r>
        <w:rPr>
          <w:rFonts w:ascii="Arial" w:cs="Arial" w:eastAsia="Arial" w:hAnsi="Arial"/>
          <w:sz w:val="18"/>
          <w:szCs w:val="18"/>
          <w:color w:val="auto"/>
        </w:rPr>
        <w:t>Significant changes in any of the unobservable inputs used in the fair value measurement of auction rate securities in isolation could result in a significantly lower or higher fair value measurement. An increase in expected yield would result in a higher fair value measurement, whereas an increase in expected holding period or estimated discount rate would result in a lower fair value measurement. Generally, a change in the assumptions used for expected holding period is accompanied by a directionally similar change in the assumptions used for estimated yield and discount rate.</w:t>
      </w:r>
    </w:p>
    <w:p>
      <w:pPr>
        <w:spacing w:after="0" w:line="167" w:lineRule="exact"/>
        <w:rPr>
          <w:sz w:val="20"/>
          <w:szCs w:val="20"/>
          <w:color w:val="auto"/>
        </w:rPr>
      </w:pPr>
    </w:p>
    <w:p>
      <w:pPr>
        <w:ind w:right="140" w:firstLine="319"/>
        <w:spacing w:after="0" w:line="266" w:lineRule="auto"/>
        <w:rPr>
          <w:sz w:val="20"/>
          <w:szCs w:val="20"/>
          <w:color w:val="auto"/>
        </w:rPr>
      </w:pPr>
      <w:r>
        <w:rPr>
          <w:rFonts w:ascii="Arial" w:cs="Arial" w:eastAsia="Arial" w:hAnsi="Arial"/>
          <w:sz w:val="18"/>
          <w:szCs w:val="18"/>
          <w:color w:val="auto"/>
        </w:rPr>
        <w:t>The following summarizes the activity in Level 3 financial instruments for the years ended December 28, 2019 and December 29, 2018 (in thousands):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Auction Rate Securities</w:t>
            </w:r>
          </w:p>
        </w:tc>
        <w:tc>
          <w:tcPr>
            <w:tcW w:w="180" w:type="dxa"/>
            <w:vAlign w:val="bottom"/>
          </w:tcPr>
          <w:p>
            <w:pPr>
              <w:spacing w:after="0"/>
              <w:rPr>
                <w:sz w:val="10"/>
                <w:szCs w:val="10"/>
                <w:color w:val="auto"/>
              </w:rPr>
            </w:pPr>
          </w:p>
        </w:tc>
        <w:tc>
          <w:tcPr>
            <w:tcW w:w="86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9"/>
              </w:rPr>
              <w:t>December 28,</w:t>
            </w:r>
          </w:p>
        </w:tc>
        <w:tc>
          <w:tcPr>
            <w:tcW w:w="180" w:type="dxa"/>
            <w:vAlign w:val="bottom"/>
          </w:tcPr>
          <w:p>
            <w:pPr>
              <w:spacing w:after="0"/>
              <w:rPr>
                <w:sz w:val="10"/>
                <w:szCs w:val="10"/>
                <w:color w:val="auto"/>
              </w:rPr>
            </w:pPr>
          </w:p>
        </w:tc>
        <w:tc>
          <w:tcPr>
            <w:tcW w:w="86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0" w:type="dxa"/>
            <w:vAlign w:val="bottom"/>
          </w:tcPr>
          <w:p>
            <w:pPr>
              <w:spacing w:after="0"/>
              <w:rPr>
                <w:sz w:val="1"/>
                <w:szCs w:val="1"/>
                <w:color w:val="auto"/>
              </w:rPr>
            </w:pPr>
          </w:p>
        </w:tc>
      </w:tr>
      <w:tr>
        <w:trPr>
          <w:trHeight w:val="169"/>
        </w:trPr>
        <w:tc>
          <w:tcPr>
            <w:tcW w:w="5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ind w:right="216"/>
              <w:spacing w:after="0"/>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5,759</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included in other comprehensive income (loss)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6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5,647</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other financial instruments</w:t>
      </w:r>
    </w:p>
    <w:p>
      <w:pPr>
        <w:spacing w:after="0" w:line="218" w:lineRule="exact"/>
        <w:rPr>
          <w:sz w:val="20"/>
          <w:szCs w:val="20"/>
          <w:color w:val="auto"/>
        </w:rPr>
      </w:pPr>
    </w:p>
    <w:p>
      <w:pPr>
        <w:ind w:right="80" w:firstLine="319"/>
        <w:spacing w:after="0" w:line="253" w:lineRule="auto"/>
        <w:rPr>
          <w:sz w:val="20"/>
          <w:szCs w:val="20"/>
          <w:color w:val="auto"/>
        </w:rPr>
      </w:pPr>
      <w:r>
        <w:rPr>
          <w:rFonts w:ascii="Arial" w:cs="Arial" w:eastAsia="Arial" w:hAnsi="Arial"/>
          <w:sz w:val="18"/>
          <w:szCs w:val="18"/>
          <w:color w:val="auto"/>
        </w:rPr>
        <w:t>The Company’s debt is recorded at cost, but is measured at fair value for disclosure purposes. The fair value of the Company’s convertible senior notes is determined using observable market prices. The notes are traded in less active markets and are therefore classified as a Level 2 fair value measurement. As of December 28, 2019 and December 29, 2018, the fair value of the convertible senior notes was $524.0 million and $419.0 million, respectively.</w:t>
      </w:r>
    </w:p>
    <w:p>
      <w:pPr>
        <w:spacing w:after="0" w:line="190" w:lineRule="exact"/>
        <w:rPr>
          <w:sz w:val="20"/>
          <w:szCs w:val="20"/>
          <w:color w:val="auto"/>
        </w:rPr>
      </w:pPr>
    </w:p>
    <w:p>
      <w:pPr>
        <w:ind w:right="440" w:firstLine="319"/>
        <w:spacing w:after="0" w:line="266" w:lineRule="auto"/>
        <w:rPr>
          <w:sz w:val="20"/>
          <w:szCs w:val="20"/>
          <w:color w:val="auto"/>
        </w:rPr>
      </w:pPr>
      <w:r>
        <w:rPr>
          <w:rFonts w:ascii="Arial" w:cs="Arial" w:eastAsia="Arial" w:hAnsi="Arial"/>
          <w:sz w:val="18"/>
          <w:szCs w:val="18"/>
          <w:color w:val="auto"/>
        </w:rPr>
        <w:t>The Company's other financial instruments, including cash, accounts receivable and accounts payable, are recorded at amounts that approximate their fair values due to their short maturities.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224" w:lineRule="exact"/>
        <w:rPr>
          <w:sz w:val="20"/>
          <w:szCs w:val="20"/>
          <w:color w:val="auto"/>
        </w:rPr>
      </w:pPr>
    </w:p>
    <w:p>
      <w:pPr>
        <w:ind w:right="20" w:firstLine="319"/>
        <w:spacing w:after="0" w:line="256" w:lineRule="auto"/>
        <w:rPr>
          <w:sz w:val="20"/>
          <w:szCs w:val="20"/>
          <w:color w:val="auto"/>
        </w:rPr>
      </w:pPr>
      <w:r>
        <w:rPr>
          <w:rFonts w:ascii="Arial" w:cs="Arial" w:eastAsia="Arial" w:hAnsi="Arial"/>
          <w:sz w:val="18"/>
          <w:szCs w:val="18"/>
          <w:color w:val="auto"/>
        </w:rPr>
        <w:t>The Company uses derivative financial instruments to manage certain exposures to the variability of foreign currency exchange rates and interest rates. The Company’s objective is to offset increases and decreases in expenses resulting from these exposures with gains and losses on the derivative contracts, thereby reducing volatility of earnings.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218" w:lineRule="exact"/>
        <w:rPr>
          <w:sz w:val="20"/>
          <w:szCs w:val="20"/>
          <w:color w:val="auto"/>
        </w:rPr>
      </w:pPr>
    </w:p>
    <w:p>
      <w:pPr>
        <w:ind w:right="120" w:firstLine="319"/>
        <w:spacing w:after="0" w:line="266" w:lineRule="auto"/>
        <w:rPr>
          <w:sz w:val="20"/>
          <w:szCs w:val="20"/>
          <w:color w:val="auto"/>
        </w:rPr>
      </w:pPr>
      <w:r>
        <w:rPr>
          <w:rFonts w:ascii="Arial" w:cs="Arial" w:eastAsia="Arial" w:hAnsi="Arial"/>
          <w:sz w:val="17"/>
          <w:szCs w:val="17"/>
          <w:color w:val="auto"/>
        </w:rPr>
        <w:t>The Company uses foreign currency forward contracts to reduce the earnings impact that exchange rate fluctuations have on operating expenses denominated in currencies other than the U.S. dollar. Changes in the fair value of the contracts are recorded in accumulated other comprehensive income (loss) in the Consolidated Balance Sheet and subsequently reclassified into earnings in the period during which the hedged transaction is recognized. The reclassified amount is reported in the same financial statement line item as the hedged item. If the foreign currency forward contracts are terminated or can no longer qualify as hedging instruments prior to maturity, the fair value of the contracts recorded in accumulated other comprehensive income (loss) may be recognized in the Consolidated Statement of Income based on an assessment of the contracts at the time of termination.</w:t>
      </w:r>
    </w:p>
    <w:p>
      <w:pPr>
        <w:sectPr>
          <w:pgSz w:w="11900" w:h="16838" w:orient="portrait"/>
          <w:cols w:equalWidth="0" w:num="1">
            <w:col w:w="10060"/>
          </w:cols>
          <w:pgMar w:left="920" w:top="513" w:right="9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 (Continued)</w:t>
      </w:r>
    </w:p>
    <w:p>
      <w:pPr>
        <w:spacing w:after="0" w:line="224" w:lineRule="exact"/>
        <w:rPr>
          <w:sz w:val="20"/>
          <w:szCs w:val="20"/>
          <w:color w:val="auto"/>
        </w:rPr>
      </w:pPr>
    </w:p>
    <w:p>
      <w:pPr>
        <w:ind w:right="40" w:firstLine="319"/>
        <w:spacing w:after="0" w:line="269" w:lineRule="auto"/>
        <w:rPr>
          <w:sz w:val="20"/>
          <w:szCs w:val="20"/>
          <w:color w:val="auto"/>
        </w:rPr>
      </w:pPr>
      <w:r>
        <w:rPr>
          <w:rFonts w:ascii="Arial" w:cs="Arial" w:eastAsia="Arial" w:hAnsi="Arial"/>
          <w:sz w:val="17"/>
          <w:szCs w:val="17"/>
          <w:color w:val="auto"/>
        </w:rPr>
        <w:t>The Company has entered into foreign currency forward contracts for a portion of its forecasted operating expenses denominated in the Norwegian Krone. As of December 28, 2019, the contracts had maturities of one to seven months and an aggregate notional value of $5.0 million. Losses expected to be reclassified into earnings in the next 12 months were not material. The fair value of the contracts, contract losses recognized in other comprehensive income (loss) and amounts reclassified from accumulated other comprehensive income (loss) into earnings were not material for any of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entered into an interest rate swap agreement with an original notional value of $72.5 million in connection with its Credit Facility in July 2016. The Company terminated the swap agreement in March 2017, which resulted in the reclassification of $1.8 million of unrealized gains into earnings during fiscal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218" w:lineRule="exact"/>
        <w:rPr>
          <w:sz w:val="20"/>
          <w:szCs w:val="20"/>
          <w:color w:val="auto"/>
        </w:rPr>
      </w:pPr>
    </w:p>
    <w:p>
      <w:pPr>
        <w:ind w:right="120" w:firstLine="319"/>
        <w:spacing w:after="0" w:line="294" w:lineRule="auto"/>
        <w:rPr>
          <w:sz w:val="20"/>
          <w:szCs w:val="20"/>
          <w:color w:val="auto"/>
        </w:rPr>
      </w:pPr>
      <w:r>
        <w:rPr>
          <w:rFonts w:ascii="Arial" w:cs="Arial" w:eastAsia="Arial" w:hAnsi="Arial"/>
          <w:sz w:val="16"/>
          <w:szCs w:val="16"/>
          <w:color w:val="auto"/>
        </w:rPr>
        <w:t>The Company uses foreign currency forward contracts to reduce the earnings impact that exchange rate fluctuations have on non-U.S. dollar balance sheet exposures. The Company recognizes gains and losses on the foreign currency forward contracts in interest income and other, net in the Consolidated Statement of Income in the same period as the remeasurement loss and gain of the related foreign currency denominated asset or liability. The Company does not apply hedge accounting to these foreign currency forward contracts.</w:t>
      </w:r>
    </w:p>
    <w:p>
      <w:pPr>
        <w:spacing w:after="0" w:line="162" w:lineRule="exact"/>
        <w:rPr>
          <w:sz w:val="20"/>
          <w:szCs w:val="20"/>
          <w:color w:val="auto"/>
        </w:rPr>
      </w:pPr>
    </w:p>
    <w:p>
      <w:pPr>
        <w:jc w:val="both"/>
        <w:ind w:right="120" w:firstLine="319"/>
        <w:spacing w:after="0" w:line="256" w:lineRule="auto"/>
        <w:rPr>
          <w:sz w:val="20"/>
          <w:szCs w:val="20"/>
          <w:color w:val="auto"/>
        </w:rPr>
      </w:pPr>
      <w:r>
        <w:rPr>
          <w:rFonts w:ascii="Arial" w:cs="Arial" w:eastAsia="Arial" w:hAnsi="Arial"/>
          <w:sz w:val="18"/>
          <w:szCs w:val="18"/>
          <w:color w:val="auto"/>
        </w:rPr>
        <w:t>As of December 28, 2019, the Company held one foreign currency forward contract denominated in Singapore Dollars with a notional value of $6.2 million. The fair value of foreign contracts and contract losses recognized in income were not material for any of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Details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show the details of selected Consolidated Balance Sheet items (in thousands):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2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Accounts receivable</w:t>
            </w: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76,277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73,832</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doubtful accounts</w:t>
            </w: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75,639</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73,194</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Inventories</w:t>
            </w: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2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28,</w:t>
            </w:r>
          </w:p>
        </w:tc>
        <w:tc>
          <w:tcPr>
            <w:tcW w:w="18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22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2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Work in progress</w:t>
            </w: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52,350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50,983</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23,989</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2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73,057</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74,972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9960"/>
          </w:cols>
          <w:pgMar w:left="920" w:top="513" w:right="10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Details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28,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3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Buildings and improvements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112,673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109,025</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Equipment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65,843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62,895</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42,487</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Leasehold interest in ground leases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23,840</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265,308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258,047</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(129,369)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(118,998)</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3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135,939</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139,049</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Other Current Liabilities</w:t>
            </w: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34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28,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3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Accrued compensation and benefits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41,138</w:t>
            </w:r>
          </w:p>
        </w:tc>
        <w:tc>
          <w:tcPr>
            <w:tcW w:w="1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37,113</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Accrued price protection credits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32,034</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6" w:lineRule="exact"/>
              <w:rPr>
                <w:sz w:val="20"/>
                <w:szCs w:val="20"/>
                <w:color w:val="auto"/>
              </w:rPr>
            </w:pPr>
            <w:r>
              <w:rPr>
                <w:rFonts w:ascii="Arial" w:cs="Arial" w:eastAsia="Arial" w:hAnsi="Arial"/>
                <w:sz w:val="18"/>
                <w:szCs w:val="18"/>
                <w:color w:val="auto"/>
              </w:rPr>
              <w:t>79,551</w:t>
            </w:r>
          </w:p>
        </w:tc>
        <w:tc>
          <w:tcPr>
            <w:tcW w:w="180" w:type="dxa"/>
            <w:vAlign w:val="bottom"/>
            <w:gridSpan w:val="2"/>
          </w:tcPr>
          <w:p>
            <w:pPr>
              <w:spacing w:after="0"/>
              <w:rPr>
                <w:sz w:val="17"/>
                <w:szCs w:val="17"/>
                <w:color w:val="auto"/>
              </w:rPr>
            </w:pPr>
          </w:p>
        </w:tc>
        <w:tc>
          <w:tcPr>
            <w:tcW w:w="120" w:type="dxa"/>
            <w:vAlign w:val="bottom"/>
          </w:tcPr>
          <w:p>
            <w:pPr>
              <w:spacing w:after="0" w:line="20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206" w:lineRule="exact"/>
              <w:rPr>
                <w:sz w:val="20"/>
                <w:szCs w:val="20"/>
                <w:color w:val="auto"/>
              </w:rPr>
            </w:pPr>
            <w:r>
              <w:rPr>
                <w:rFonts w:ascii="Arial" w:cs="Arial" w:eastAsia="Arial" w:hAnsi="Arial"/>
                <w:sz w:val="18"/>
                <w:szCs w:val="18"/>
                <w:color w:val="auto"/>
              </w:rPr>
              <w:t>81,180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Risks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18" w:lineRule="exact"/>
        <w:rPr>
          <w:sz w:val="20"/>
          <w:szCs w:val="20"/>
          <w:color w:val="auto"/>
        </w:rPr>
      </w:pPr>
    </w:p>
    <w:p>
      <w:pPr>
        <w:ind w:firstLine="319"/>
        <w:spacing w:after="0" w:line="250"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investments, accounts receivable, notes receivable and derivatives. The Company places its cash equivalents and investments primarily in municipal bonds, money market funds, corporate bonds, variable-rate demand notes, U.S. government securities, agency securities, asset-back securities, commercial paper and auction-rate securities. Concentrations of credit risk with respect to accounts receivable are primarily due to customers with large outstanding balances. The Company’s customers that accounted for greater than 10% of accounts receivable consisted of the following:</w:t>
      </w:r>
    </w:p>
    <w:p>
      <w:pPr>
        <w:spacing w:after="0" w:line="183"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w w:val="90"/>
              </w:rPr>
              <w:t>December 28,</w:t>
            </w:r>
          </w:p>
        </w:tc>
        <w:tc>
          <w:tcPr>
            <w:tcW w:w="1020" w:type="dxa"/>
            <w:vAlign w:val="bottom"/>
            <w:gridSpan w:val="2"/>
          </w:tcPr>
          <w:p>
            <w:pPr>
              <w:jc w:val="right"/>
              <w:ind w:right="91"/>
              <w:spacing w:after="0"/>
              <w:rPr>
                <w:sz w:val="20"/>
                <w:szCs w:val="20"/>
                <w:color w:val="auto"/>
              </w:rPr>
            </w:pPr>
            <w:r>
              <w:rPr>
                <w:rFonts w:ascii="Arial" w:cs="Arial" w:eastAsia="Arial" w:hAnsi="Arial"/>
                <w:sz w:val="14"/>
                <w:szCs w:val="14"/>
                <w:b w:val="1"/>
                <w:bCs w:val="1"/>
                <w:color w:val="auto"/>
                <w:w w:val="90"/>
              </w:rPr>
              <w:t>December 29,</w:t>
            </w:r>
          </w:p>
        </w:tc>
      </w:tr>
      <w:tr>
        <w:trPr>
          <w:trHeight w:val="169"/>
        </w:trPr>
        <w:tc>
          <w:tcPr>
            <w:tcW w:w="6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06"/>
        </w:trPr>
        <w:tc>
          <w:tcPr>
            <w:tcW w:w="60" w:type="dxa"/>
            <w:vAlign w:val="bottom"/>
          </w:tcPr>
          <w:p>
            <w:pPr>
              <w:spacing w:after="0"/>
              <w:rPr>
                <w:sz w:val="17"/>
                <w:szCs w:val="17"/>
                <w:color w:val="auto"/>
              </w:rPr>
            </w:pPr>
          </w:p>
        </w:tc>
        <w:tc>
          <w:tcPr>
            <w:tcW w:w="59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Edom Technology</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ind w:right="11"/>
              <w:spacing w:after="0" w:line="205" w:lineRule="exact"/>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r>
        <w:trPr>
          <w:trHeight w:val="213"/>
        </w:trPr>
        <w:tc>
          <w:tcPr>
            <w:tcW w:w="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Arrow Electronics</w:t>
            </w:r>
          </w:p>
        </w:tc>
        <w:tc>
          <w:tcPr>
            <w:tcW w:w="1100" w:type="dxa"/>
            <w:vAlign w:val="bottom"/>
            <w:gridSpan w:val="2"/>
          </w:tcPr>
          <w:p>
            <w:pPr>
              <w:jc w:val="right"/>
              <w:ind w:right="11"/>
              <w:spacing w:after="0"/>
              <w:rPr>
                <w:sz w:val="20"/>
                <w:szCs w:val="20"/>
                <w:color w:val="auto"/>
              </w:rPr>
            </w:pPr>
            <w:r>
              <w:rPr>
                <w:rFonts w:ascii="Arial" w:cs="Arial" w:eastAsia="Arial" w:hAnsi="Arial"/>
                <w:sz w:val="18"/>
                <w:szCs w:val="18"/>
                <w:color w:val="auto"/>
              </w:rPr>
              <w:t>14 %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13"/>
        </w:trPr>
        <w:tc>
          <w:tcPr>
            <w:tcW w:w="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11 %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106"/>
        </w:trPr>
        <w:tc>
          <w:tcPr>
            <w:tcW w:w="6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3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81" w:lineRule="exact"/>
        <w:rPr>
          <w:sz w:val="20"/>
          <w:szCs w:val="20"/>
          <w:color w:val="auto"/>
        </w:rPr>
      </w:pPr>
    </w:p>
    <w:p>
      <w:pPr>
        <w:ind w:left="1280" w:hanging="326"/>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Less than 10% of accounts receivable</w:t>
      </w:r>
    </w:p>
    <w:p>
      <w:pPr>
        <w:spacing w:after="0" w:line="218"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requires no collateral from its customers. The Company provides an allowance for potential credit losses based upon the expected collectibility of such receivables. Losses have not been significant for any of the periods presented.</w:t>
      </w:r>
    </w:p>
    <w:p>
      <w:pPr>
        <w:spacing w:after="0" w:line="188" w:lineRule="exact"/>
        <w:rPr>
          <w:sz w:val="20"/>
          <w:szCs w:val="20"/>
          <w:color w:val="auto"/>
        </w:rPr>
      </w:pPr>
    </w:p>
    <w:p>
      <w:pPr>
        <w:ind w:right="20" w:firstLine="319"/>
        <w:spacing w:after="0" w:line="253" w:lineRule="auto"/>
        <w:rPr>
          <w:sz w:val="20"/>
          <w:szCs w:val="20"/>
          <w:color w:val="auto"/>
        </w:rPr>
      </w:pPr>
      <w:r>
        <w:rPr>
          <w:rFonts w:ascii="Arial" w:cs="Arial" w:eastAsia="Arial" w:hAnsi="Arial"/>
          <w:sz w:val="18"/>
          <w:szCs w:val="18"/>
          <w:color w:val="auto"/>
        </w:rPr>
        <w:t>The Company holds two notes receivable from a privately held company. The total carrying value of the notes was $1.2 million as of December 28, 2019. The Company holds an equity investment in another privately held company. The investment is accounted for using the equity method and had a carrying value of $6.7 million as of December 28, 2019. The notes receivable and the investment were recorded in other assets, net in the Consolidated Balance Sheet.</w:t>
      </w:r>
    </w:p>
    <w:p>
      <w:pPr>
        <w:sectPr>
          <w:pgSz w:w="11900" w:h="16838" w:orient="portrait"/>
          <w:cols w:equalWidth="0" w:num="1">
            <w:col w:w="9960"/>
          </w:cols>
          <w:pgMar w:left="92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9960"/>
          </w:cols>
          <w:pgMar w:left="920" w:top="513" w:right="1019" w:bottom="1440" w:gutter="0" w:footer="0" w:header="0"/>
          <w:type w:val="continuous"/>
        </w:sectPr>
      </w:pPr>
    </w:p>
    <w:bookmarkStart w:id="65" w:name="page66"/>
    <w:bookmarkEnd w:id="65"/>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7. Risks and Uncertainties (Continued)</w:t>
      </w:r>
    </w:p>
    <w:p>
      <w:pPr>
        <w:spacing w:after="0" w:line="224" w:lineRule="exact"/>
        <w:rPr>
          <w:sz w:val="20"/>
          <w:szCs w:val="20"/>
          <w:color w:val="auto"/>
        </w:rPr>
      </w:pPr>
    </w:p>
    <w:p>
      <w:pPr>
        <w:ind w:left="3" w:right="260" w:firstLine="319"/>
        <w:spacing w:after="0" w:line="253" w:lineRule="auto"/>
        <w:rPr>
          <w:sz w:val="20"/>
          <w:szCs w:val="20"/>
          <w:color w:val="auto"/>
        </w:rPr>
      </w:pPr>
      <w:r>
        <w:rPr>
          <w:rFonts w:ascii="Arial" w:cs="Arial" w:eastAsia="Arial" w:hAnsi="Arial"/>
          <w:sz w:val="18"/>
          <w:szCs w:val="18"/>
          <w:color w:val="auto"/>
        </w:rPr>
        <w:t>As a result of its use of derivative instruments, the Company is exposed to the risk that its counterparties will fail to meet their contractual obligations. To mitigate this counterparty credit risk, the Company has a policy to enter into contracts with only selected major financial institutions. The Company periodically reviews and re-assesses the creditworthiness of such counterparties based on a variety of factors.</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Distributor Advances</w:t>
      </w:r>
    </w:p>
    <w:p>
      <w:pPr>
        <w:spacing w:after="0" w:line="218" w:lineRule="exact"/>
        <w:rPr>
          <w:sz w:val="20"/>
          <w:szCs w:val="20"/>
          <w:color w:val="auto"/>
        </w:rPr>
      </w:pPr>
    </w:p>
    <w:p>
      <w:pPr>
        <w:ind w:left="3" w:right="80" w:firstLine="319"/>
        <w:spacing w:after="0" w:line="264" w:lineRule="auto"/>
        <w:rPr>
          <w:sz w:val="20"/>
          <w:szCs w:val="20"/>
          <w:color w:val="auto"/>
        </w:rPr>
      </w:pPr>
      <w:r>
        <w:rPr>
          <w:rFonts w:ascii="Arial" w:cs="Arial" w:eastAsia="Arial" w:hAnsi="Arial"/>
          <w:sz w:val="17"/>
          <w:szCs w:val="17"/>
          <w:color w:val="auto"/>
        </w:rPr>
        <w:t>On sales to distributors, the Company's payment terms often require the distributor to initially pay amounts owed to the Company for an amount in excess of their ultimate cost. The Company's sales price to its distributors may be higher than the amount that the distributors will ultimately owe the Company because distributors often negotiate price reductions after purchasing the product from the Company and such reductions are often significant. These negotiated price discounts are not granted until the distributor sells the product to the end customer, which may occur after the distributor has paid the original invoice amount to the Company. Payment of invoices prior to receiving an associated discount can have an adverse impact on the working capital of the Company's distributors. Accordingly, the Company has entered into agreements with certain distributors whereby it advances cash to the distributors to reduce the distributor's working capital requirements. The advance amounts are based on the distributor’s inventory balance, and are adjusted quarterly. Such amounts are recorded in prepaid expenses and other current assets in the Consolidated Balance Sheet. The terms of these advances are set forth in binding legal agreements and are unsecured, bear no interest on unsettled balances and are due upon demand. The agreements governing these advances can be cancelled by the Company at any time.</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Suppliers</w:t>
      </w:r>
    </w:p>
    <w:p>
      <w:pPr>
        <w:spacing w:after="0" w:line="218" w:lineRule="exact"/>
        <w:rPr>
          <w:sz w:val="20"/>
          <w:szCs w:val="20"/>
          <w:color w:val="auto"/>
        </w:rPr>
      </w:pPr>
    </w:p>
    <w:p>
      <w:pPr>
        <w:ind w:left="3" w:right="80" w:firstLine="319"/>
        <w:spacing w:after="0" w:line="253" w:lineRule="auto"/>
        <w:rPr>
          <w:sz w:val="20"/>
          <w:szCs w:val="20"/>
          <w:color w:val="auto"/>
        </w:rPr>
      </w:pPr>
      <w:r>
        <w:rPr>
          <w:rFonts w:ascii="Arial" w:cs="Arial" w:eastAsia="Arial" w:hAnsi="Arial"/>
          <w:sz w:val="18"/>
          <w:szCs w:val="18"/>
          <w:color w:val="auto"/>
        </w:rPr>
        <w:t>A significant portion of the Company's products are fabricated by Taiwan Semiconductor Manufacturing Co. (TSMC) or Semiconductor Manufacturing International Corporation (SMIC). The inability of TSMC or SMIC to deliver wafers to the Company on a timely basis could impact the production of the Company's products for a substantial period of time, which could have a material adverse effect on the Company's business, financial condition, results of operations and cash flows.</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Customers</w:t>
      </w:r>
    </w:p>
    <w:p>
      <w:pPr>
        <w:spacing w:after="0" w:line="218" w:lineRule="exact"/>
        <w:rPr>
          <w:sz w:val="20"/>
          <w:szCs w:val="20"/>
          <w:color w:val="auto"/>
        </w:rPr>
      </w:pPr>
    </w:p>
    <w:p>
      <w:pPr>
        <w:ind w:left="3" w:right="60" w:firstLine="319"/>
        <w:spacing w:after="0" w:line="272" w:lineRule="auto"/>
        <w:rPr>
          <w:sz w:val="20"/>
          <w:szCs w:val="20"/>
          <w:color w:val="auto"/>
        </w:rPr>
      </w:pPr>
      <w:r>
        <w:rPr>
          <w:rFonts w:ascii="Arial" w:cs="Arial" w:eastAsia="Arial" w:hAnsi="Arial"/>
          <w:sz w:val="17"/>
          <w:szCs w:val="17"/>
          <w:color w:val="auto"/>
        </w:rPr>
        <w:t>The Company sells directly to end customers, distributors and contract manufacturers. Although the Company actually sells the products to, and is paid by, distributors and contract manufacturers, the Company refers to the end customer as its customer. None of the Company’s end customers or contract manufacturers accounted for greater than 10% of revenue during fiscal 2019, 2018 or 2017. The Company’s distributors that accounted for greater than 10% of revenue consisted of the following:</w:t>
      </w:r>
    </w:p>
    <w:p>
      <w:pPr>
        <w:spacing w:after="0" w:line="180"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31"/>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7"/>
        </w:trPr>
        <w:tc>
          <w:tcPr>
            <w:tcW w:w="25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gridSpan w:val="2"/>
          </w:tcPr>
          <w:p>
            <w:pPr>
              <w:jc w:val="right"/>
              <w:ind w:right="171"/>
              <w:spacing w:after="0" w:line="117" w:lineRule="exact"/>
              <w:rPr>
                <w:sz w:val="20"/>
                <w:szCs w:val="20"/>
                <w:color w:val="auto"/>
              </w:rPr>
            </w:pPr>
            <w:r>
              <w:rPr>
                <w:rFonts w:ascii="Arial" w:cs="Arial" w:eastAsia="Arial" w:hAnsi="Arial"/>
                <w:sz w:val="13"/>
                <w:szCs w:val="13"/>
                <w:b w:val="1"/>
                <w:bCs w:val="1"/>
                <w:color w:val="auto"/>
                <w:w w:val="96"/>
              </w:rPr>
              <w:t>December 28,</w:t>
            </w:r>
          </w:p>
        </w:tc>
        <w:tc>
          <w:tcPr>
            <w:tcW w:w="1100" w:type="dxa"/>
            <w:vAlign w:val="bottom"/>
            <w:gridSpan w:val="2"/>
          </w:tcPr>
          <w:p>
            <w:pPr>
              <w:jc w:val="center"/>
              <w:ind w:right="151"/>
              <w:spacing w:after="0" w:line="117" w:lineRule="exact"/>
              <w:rPr>
                <w:sz w:val="20"/>
                <w:szCs w:val="20"/>
                <w:color w:val="auto"/>
              </w:rPr>
            </w:pPr>
            <w:r>
              <w:rPr>
                <w:rFonts w:ascii="Arial" w:cs="Arial" w:eastAsia="Arial" w:hAnsi="Arial"/>
                <w:sz w:val="13"/>
                <w:szCs w:val="13"/>
                <w:b w:val="1"/>
                <w:bCs w:val="1"/>
                <w:color w:val="auto"/>
                <w:w w:val="96"/>
              </w:rPr>
              <w:t>December 29,</w:t>
            </w:r>
          </w:p>
        </w:tc>
        <w:tc>
          <w:tcPr>
            <w:tcW w:w="880" w:type="dxa"/>
            <w:vAlign w:val="bottom"/>
          </w:tcPr>
          <w:p>
            <w:pPr>
              <w:jc w:val="right"/>
              <w:spacing w:after="0" w:line="117" w:lineRule="exact"/>
              <w:rPr>
                <w:sz w:val="20"/>
                <w:szCs w:val="20"/>
                <w:color w:val="auto"/>
              </w:rPr>
            </w:pPr>
            <w:r>
              <w:rPr>
                <w:rFonts w:ascii="Arial" w:cs="Arial" w:eastAsia="Arial" w:hAnsi="Arial"/>
                <w:sz w:val="13"/>
                <w:szCs w:val="13"/>
                <w:b w:val="1"/>
                <w:bCs w:val="1"/>
                <w:color w:val="auto"/>
                <w:w w:val="99"/>
              </w:rPr>
              <w:t>December 30,</w:t>
            </w:r>
          </w:p>
        </w:tc>
        <w:tc>
          <w:tcPr>
            <w:tcW w:w="180" w:type="dxa"/>
            <w:vAlign w:val="bottom"/>
          </w:tcPr>
          <w:p>
            <w:pPr>
              <w:spacing w:after="0"/>
              <w:rPr>
                <w:sz w:val="10"/>
                <w:szCs w:val="10"/>
                <w:color w:val="auto"/>
              </w:rPr>
            </w:pPr>
          </w:p>
        </w:tc>
      </w:tr>
      <w:tr>
        <w:trPr>
          <w:trHeight w:val="169"/>
        </w:trPr>
        <w:tc>
          <w:tcPr>
            <w:tcW w:w="252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r>
      <w:tr>
        <w:trPr>
          <w:trHeight w:val="206"/>
        </w:trPr>
        <w:tc>
          <w:tcPr>
            <w:tcW w:w="68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Arrow Electronics</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jc w:val="right"/>
              <w:ind w:right="11"/>
              <w:spacing w:after="0" w:line="205" w:lineRule="exact"/>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ind w:right="11"/>
              <w:spacing w:after="0" w:line="205" w:lineRule="exact"/>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r>
        <w:trPr>
          <w:trHeight w:val="213"/>
        </w:trPr>
        <w:tc>
          <w:tcPr>
            <w:tcW w:w="6820" w:type="dxa"/>
            <w:vAlign w:val="bottom"/>
            <w:gridSpan w:val="2"/>
          </w:tcPr>
          <w:p>
            <w:pPr>
              <w:spacing w:after="0"/>
              <w:rPr>
                <w:sz w:val="20"/>
                <w:szCs w:val="20"/>
                <w:color w:val="auto"/>
              </w:rPr>
            </w:pPr>
            <w:r>
              <w:rPr>
                <w:rFonts w:ascii="Arial" w:cs="Arial" w:eastAsia="Arial" w:hAnsi="Arial"/>
                <w:sz w:val="18"/>
                <w:szCs w:val="18"/>
                <w:color w:val="auto"/>
              </w:rPr>
              <w:t>Edom Technology</w:t>
            </w:r>
          </w:p>
        </w:tc>
        <w:tc>
          <w:tcPr>
            <w:tcW w:w="1100" w:type="dxa"/>
            <w:vAlign w:val="bottom"/>
            <w:gridSpan w:val="2"/>
          </w:tcPr>
          <w:p>
            <w:pPr>
              <w:jc w:val="right"/>
              <w:ind w:right="11"/>
              <w:spacing w:after="0"/>
              <w:rPr>
                <w:sz w:val="20"/>
                <w:szCs w:val="20"/>
                <w:color w:val="auto"/>
              </w:rPr>
            </w:pPr>
            <w:r>
              <w:rPr>
                <w:rFonts w:ascii="Arial" w:cs="Arial" w:eastAsia="Arial" w:hAnsi="Arial"/>
                <w:sz w:val="18"/>
                <w:szCs w:val="18"/>
                <w:color w:val="auto"/>
              </w:rPr>
              <w:t>20 %</w:t>
            </w:r>
          </w:p>
        </w:tc>
        <w:tc>
          <w:tcPr>
            <w:tcW w:w="1100" w:type="dxa"/>
            <w:vAlign w:val="bottom"/>
            <w:gridSpan w:val="2"/>
          </w:tcPr>
          <w:p>
            <w:pPr>
              <w:jc w:val="right"/>
              <w:ind w:right="11"/>
              <w:spacing w:after="0"/>
              <w:rPr>
                <w:sz w:val="20"/>
                <w:szCs w:val="20"/>
                <w:color w:val="auto"/>
              </w:rPr>
            </w:pPr>
            <w:r>
              <w:rPr>
                <w:rFonts w:ascii="Arial" w:cs="Arial" w:eastAsia="Arial" w:hAnsi="Arial"/>
                <w:sz w:val="18"/>
                <w:szCs w:val="18"/>
                <w:color w:val="auto"/>
              </w:rPr>
              <w:t>17 %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19 %</w:t>
            </w:r>
          </w:p>
        </w:tc>
      </w:tr>
      <w:tr>
        <w:trPr>
          <w:trHeight w:val="213"/>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113"/>
        </w:trPr>
        <w:tc>
          <w:tcPr>
            <w:tcW w:w="252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67" w:lineRule="exact"/>
        <w:rPr>
          <w:sz w:val="20"/>
          <w:szCs w:val="20"/>
          <w:color w:val="auto"/>
        </w:rPr>
      </w:pPr>
    </w:p>
    <w:p>
      <w:pPr>
        <w:ind w:left="323" w:hanging="323"/>
        <w:spacing w:after="0"/>
        <w:tabs>
          <w:tab w:leader="none" w:pos="3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Less than 10% of revenue</w:t>
      </w:r>
    </w:p>
    <w:p>
      <w:pPr>
        <w:spacing w:after="0" w:line="200" w:lineRule="exact"/>
        <w:rPr>
          <w:sz w:val="20"/>
          <w:szCs w:val="20"/>
          <w:color w:val="auto"/>
        </w:rPr>
      </w:pP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8. Acquisitions</w:t>
      </w:r>
    </w:p>
    <w:p>
      <w:pPr>
        <w:spacing w:after="0" w:line="224"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Z-Wave</w:t>
      </w:r>
    </w:p>
    <w:p>
      <w:pPr>
        <w:spacing w:after="0" w:line="218" w:lineRule="exact"/>
        <w:rPr>
          <w:sz w:val="20"/>
          <w:szCs w:val="20"/>
          <w:color w:val="auto"/>
        </w:rPr>
      </w:pPr>
    </w:p>
    <w:p>
      <w:pPr>
        <w:ind w:left="3" w:right="320"/>
        <w:spacing w:after="0" w:line="266" w:lineRule="auto"/>
        <w:rPr>
          <w:sz w:val="20"/>
          <w:szCs w:val="20"/>
          <w:color w:val="auto"/>
        </w:rPr>
      </w:pPr>
      <w:r>
        <w:rPr>
          <w:rFonts w:ascii="Arial" w:cs="Arial" w:eastAsia="Arial" w:hAnsi="Arial"/>
          <w:sz w:val="18"/>
          <w:szCs w:val="18"/>
          <w:color w:val="auto"/>
        </w:rPr>
        <w:t>On April 18, 2018, the Company completed the acquisition of the Z-Wave business from Sigma Designs, Inc. for $243 million in cash. Z-Wave is an Internet of Things (IoT) technology for smart home solutions.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638810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3"/>
          </w:cols>
          <w:pgMar w:left="917" w:top="513" w:right="8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 (Continued)</w:t>
      </w:r>
    </w:p>
    <w:p>
      <w:pPr>
        <w:spacing w:after="0" w:line="224" w:lineRule="exact"/>
        <w:rPr>
          <w:sz w:val="20"/>
          <w:szCs w:val="20"/>
          <w:color w:val="auto"/>
        </w:rPr>
      </w:pPr>
    </w:p>
    <w:p>
      <w:pPr>
        <w:ind w:right="160" w:firstLine="319"/>
        <w:spacing w:after="0" w:line="253" w:lineRule="auto"/>
        <w:rPr>
          <w:sz w:val="20"/>
          <w:szCs w:val="20"/>
          <w:color w:val="auto"/>
        </w:rPr>
      </w:pPr>
      <w:r>
        <w:rPr>
          <w:rFonts w:ascii="Arial" w:cs="Arial" w:eastAsia="Arial" w:hAnsi="Arial"/>
          <w:sz w:val="18"/>
          <w:szCs w:val="18"/>
          <w:color w:val="auto"/>
        </w:rPr>
        <w:t>This strategic acquisition expanded the Company’s IoT connectivity portfolio in the connected home and security market, while further scaling the Company's engineering team. These factors contributed to a purchase price that was in excess of the fair value of the net assets acquired and, as a result, the Company recorded goodwill. A portion of the goodwill is deductible for tax purposes. The purchase price was allocated as follows (in thousands):</w:t>
      </w:r>
    </w:p>
    <w:p>
      <w:pPr>
        <w:spacing w:after="0" w:line="17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3"/>
              </w:rPr>
              <w:t>Amortization Period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20,900</w:t>
            </w:r>
          </w:p>
        </w:tc>
        <w:tc>
          <w:tcPr>
            <w:tcW w:w="1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Not amortized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69,875</w:t>
            </w:r>
          </w:p>
        </w:tc>
        <w:tc>
          <w:tcPr>
            <w:tcW w:w="14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1460" w:type="dxa"/>
            <w:vAlign w:val="bottom"/>
            <w:gridSpan w:val="2"/>
          </w:tcPr>
          <w:p>
            <w:pPr>
              <w:jc w:val="center"/>
              <w:ind w:left="51"/>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4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6" w:lineRule="exact"/>
              <w:rPr>
                <w:sz w:val="20"/>
                <w:szCs w:val="20"/>
                <w:color w:val="auto"/>
              </w:rPr>
            </w:pPr>
            <w:r>
              <w:rPr>
                <w:rFonts w:ascii="Arial" w:cs="Arial" w:eastAsia="Arial" w:hAnsi="Arial"/>
                <w:sz w:val="18"/>
                <w:szCs w:val="18"/>
                <w:color w:val="auto"/>
                <w:w w:val="92"/>
              </w:rPr>
              <w:t>125,675</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5,311</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109,117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2,587</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(8,918)</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00" w:type="dxa"/>
            <w:vAlign w:val="bottom"/>
            <w:gridSpan w:val="2"/>
          </w:tcPr>
          <w:p>
            <w:pPr>
              <w:spacing w:after="0" w:line="206" w:lineRule="exact"/>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2"/>
              </w:rPr>
              <w:t>242,569</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firstLine="319"/>
        <w:spacing w:after="0" w:line="250" w:lineRule="auto"/>
        <w:rPr>
          <w:sz w:val="20"/>
          <w:szCs w:val="20"/>
          <w:color w:val="auto"/>
        </w:rPr>
      </w:pPr>
      <w:r>
        <w:rPr>
          <w:rFonts w:ascii="Arial" w:cs="Arial" w:eastAsia="Arial" w:hAnsi="Arial"/>
          <w:sz w:val="18"/>
          <w:szCs w:val="18"/>
          <w:color w:val="auto"/>
        </w:rPr>
        <w:t>The following unaudited pro forma financial information presents combined results of operations for each of the periods presented, giving effect to the acquisition as if it had been completed on January 1, 2017. The pro forma financial information includes charges for the fair value write-up associated with acquired inventory, adjustments for amortization expense of acquired intangible assets and tax-related expenses. The pro forma results of operations are presented for informational purposes only and are not necessarily indicative of the results of operations that would have been achieved if the acquisition had taken place on January 1, 2017 or of results that may occur in the future (in thousands, except per share data):</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2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rPr>
              <w:t>December 29,</w:t>
            </w:r>
          </w:p>
        </w:tc>
        <w:tc>
          <w:tcPr>
            <w:tcW w:w="98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rPr>
              <w:t>December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right"/>
              <w:ind w:right="515"/>
              <w:spacing w:after="0" w:line="139"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8"/>
              </w:rPr>
              <w:t>882,109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824,009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87,874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27,958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Earnings per share:</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54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2.00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Zentri</w:t>
      </w:r>
    </w:p>
    <w:p>
      <w:pPr>
        <w:spacing w:after="0" w:line="218" w:lineRule="exact"/>
        <w:rPr>
          <w:sz w:val="20"/>
          <w:szCs w:val="20"/>
          <w:color w:val="auto"/>
        </w:rPr>
      </w:pPr>
    </w:p>
    <w:p>
      <w:pPr>
        <w:ind w:right="20" w:firstLine="319"/>
        <w:spacing w:after="0" w:line="253" w:lineRule="auto"/>
        <w:rPr>
          <w:sz w:val="20"/>
          <w:szCs w:val="20"/>
          <w:color w:val="auto"/>
        </w:rPr>
      </w:pPr>
      <w:r>
        <w:rPr>
          <w:rFonts w:ascii="Arial" w:cs="Arial" w:eastAsia="Arial" w:hAnsi="Arial"/>
          <w:sz w:val="18"/>
          <w:szCs w:val="18"/>
          <w:color w:val="auto"/>
        </w:rPr>
        <w:t>On January 20, 2017, the Company acquired Zentri, Inc., a private company. Zentri was an innovator in low-power, cloud-connected Wi-Fi technologies for the IoT. The Company acquired Zentri for approximately $18.1 million, including initial cash consideration of approximately $14.3 million, and potential additional consideration with an estimated fair value of approximately $3.8 million at the date of acquisition.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 (Continued)</w:t>
      </w:r>
    </w:p>
    <w:p>
      <w:pPr>
        <w:spacing w:after="0" w:line="224" w:lineRule="exact"/>
        <w:rPr>
          <w:sz w:val="20"/>
          <w:szCs w:val="20"/>
          <w:color w:val="auto"/>
        </w:rPr>
      </w:pPr>
    </w:p>
    <w:p>
      <w:pPr>
        <w:jc w:val="both"/>
        <w:ind w:right="220" w:firstLine="319"/>
        <w:spacing w:after="0" w:line="256" w:lineRule="auto"/>
        <w:rPr>
          <w:sz w:val="20"/>
          <w:szCs w:val="20"/>
          <w:color w:val="auto"/>
        </w:rPr>
      </w:pPr>
      <w:r>
        <w:rPr>
          <w:rFonts w:ascii="Arial" w:cs="Arial" w:eastAsia="Arial" w:hAnsi="Arial"/>
          <w:sz w:val="18"/>
          <w:szCs w:val="18"/>
          <w:color w:val="auto"/>
        </w:rPr>
        <w:t>The purchase price was allocated as follows: intangible assets—$6.7 million; goodwill—$12.1 million; and other net liabilities—$0.7 million. The goodwill is not deductible for tax purposes. Pro forma information related to this acquisition has not been presented because it would not be materially different from amounts reported.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18" w:lineRule="exact"/>
        <w:rPr>
          <w:sz w:val="20"/>
          <w:szCs w:val="20"/>
          <w:color w:val="auto"/>
        </w:rPr>
      </w:pPr>
    </w:p>
    <w:p>
      <w:pPr>
        <w:ind w:right="680" w:firstLine="319"/>
        <w:spacing w:after="0" w:line="266" w:lineRule="auto"/>
        <w:rPr>
          <w:sz w:val="20"/>
          <w:szCs w:val="20"/>
          <w:color w:val="auto"/>
        </w:rPr>
      </w:pPr>
      <w:r>
        <w:rPr>
          <w:rFonts w:ascii="Arial" w:cs="Arial" w:eastAsia="Arial" w:hAnsi="Arial"/>
          <w:sz w:val="18"/>
          <w:szCs w:val="18"/>
          <w:color w:val="auto"/>
        </w:rPr>
        <w:t>In October 2019, the Company acquired IEEE 1588 precision time protocol (PTP) software and module assets from Qulsar. The transaction was accounted for as a business combination, which was not material to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activity in goodwill for the years ended December 28, 2019 and December 29, 2018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Year Ended</w:t>
            </w:r>
          </w:p>
        </w:tc>
      </w:tr>
      <w:tr>
        <w:trPr>
          <w:trHeight w:val="117"/>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6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w w:val="96"/>
              </w:rPr>
              <w:t>December 28,</w:t>
            </w:r>
          </w:p>
        </w:tc>
        <w:tc>
          <w:tcPr>
            <w:tcW w:w="200" w:type="dxa"/>
            <w:vAlign w:val="bottom"/>
          </w:tcPr>
          <w:p>
            <w:pPr>
              <w:spacing w:after="0"/>
              <w:rPr>
                <w:sz w:val="10"/>
                <w:szCs w:val="10"/>
                <w:color w:val="auto"/>
              </w:rPr>
            </w:pPr>
          </w:p>
        </w:tc>
        <w:tc>
          <w:tcPr>
            <w:tcW w:w="860" w:type="dxa"/>
            <w:vAlign w:val="bottom"/>
            <w:gridSpan w:val="2"/>
          </w:tcPr>
          <w:p>
            <w:pPr>
              <w:ind w:left="20"/>
              <w:spacing w:after="0" w:line="117" w:lineRule="exact"/>
              <w:rPr>
                <w:sz w:val="20"/>
                <w:szCs w:val="20"/>
                <w:color w:val="auto"/>
              </w:rPr>
            </w:pPr>
            <w:r>
              <w:rPr>
                <w:rFonts w:ascii="Arial" w:cs="Arial" w:eastAsia="Arial" w:hAnsi="Arial"/>
                <w:sz w:val="13"/>
                <w:szCs w:val="13"/>
                <w:b w:val="1"/>
                <w:bCs w:val="1"/>
                <w:color w:val="auto"/>
                <w:w w:val="96"/>
              </w:rPr>
              <w:t>December 29,</w:t>
            </w:r>
          </w:p>
        </w:tc>
      </w:tr>
      <w:tr>
        <w:trPr>
          <w:trHeight w:val="169"/>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r>
      <w:tr>
        <w:trPr>
          <w:trHeight w:val="206"/>
        </w:trPr>
        <w:tc>
          <w:tcPr>
            <w:tcW w:w="20" w:type="dxa"/>
            <w:vAlign w:val="bottom"/>
          </w:tcPr>
          <w:p>
            <w:pPr>
              <w:spacing w:after="0"/>
              <w:rPr>
                <w:sz w:val="17"/>
                <w:szCs w:val="17"/>
                <w:color w:val="auto"/>
              </w:rPr>
            </w:pPr>
          </w:p>
        </w:tc>
        <w:tc>
          <w:tcPr>
            <w:tcW w:w="61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397,344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288,227</w:t>
            </w:r>
          </w:p>
        </w:tc>
      </w:tr>
      <w:tr>
        <w:trPr>
          <w:trHeight w:val="213"/>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due to business combinations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109,117</w:t>
            </w:r>
          </w:p>
        </w:tc>
      </w:tr>
      <w:tr>
        <w:trPr>
          <w:trHeight w:val="206"/>
        </w:trPr>
        <w:tc>
          <w:tcPr>
            <w:tcW w:w="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398,402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397,344</w:t>
            </w: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carrying amount and accumulated amortization of other intangible assets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vMerge w:val="restart"/>
          </w:tcPr>
          <w:p>
            <w:pPr>
              <w:jc w:val="right"/>
              <w:ind w:right="271"/>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vMerge w:val="restart"/>
          </w:tcPr>
          <w:p>
            <w:pPr>
              <w:jc w:val="right"/>
              <w:ind w:right="291"/>
              <w:spacing w:after="0"/>
              <w:rPr>
                <w:sz w:val="20"/>
                <w:szCs w:val="20"/>
                <w:color w:val="auto"/>
              </w:rPr>
            </w:pPr>
            <w:r>
              <w:rPr>
                <w:rFonts w:ascii="Arial" w:cs="Arial" w:eastAsia="Arial" w:hAnsi="Arial"/>
                <w:sz w:val="14"/>
                <w:szCs w:val="14"/>
                <w:b w:val="1"/>
                <w:bCs w:val="1"/>
                <w:color w:val="auto"/>
              </w:rPr>
              <w:t>December 29, 2018</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18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Period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60"/>
              <w:spacing w:after="0" w:line="117"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88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80"/>
              <w:spacing w:after="0" w:line="117"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860" w:type="dxa"/>
            <w:vAlign w:val="bottom"/>
            <w:gridSpan w:val="2"/>
          </w:tcPr>
          <w:p>
            <w:pPr>
              <w:jc w:val="right"/>
              <w:spacing w:after="0" w:line="117" w:lineRule="exact"/>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06"/>
        </w:trPr>
        <w:tc>
          <w:tcPr>
            <w:tcW w:w="484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Core and developed technology</w:t>
            </w:r>
          </w:p>
        </w:tc>
        <w:tc>
          <w:tcPr>
            <w:tcW w:w="118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219,695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3"/>
              </w:rPr>
              <w:t>(111,634)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8"/>
              </w:rPr>
              <w:t>237,265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95"/>
              </w:rPr>
              <w:t>(102,116)</w:t>
            </w:r>
          </w:p>
        </w:tc>
        <w:tc>
          <w:tcPr>
            <w:tcW w:w="0" w:type="dxa"/>
            <w:vAlign w:val="bottom"/>
          </w:tcPr>
          <w:p>
            <w:pPr>
              <w:spacing w:after="0"/>
              <w:rPr>
                <w:sz w:val="1"/>
                <w:szCs w:val="1"/>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46,890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(21,075)</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6"/>
        </w:trPr>
        <w:tc>
          <w:tcPr>
            <w:tcW w:w="4840" w:type="dxa"/>
            <w:vAlign w:val="bottom"/>
          </w:tcPr>
          <w:p>
            <w:pPr>
              <w:spacing w:after="0" w:line="206" w:lineRule="exact"/>
              <w:rPr>
                <w:sz w:val="20"/>
                <w:szCs w:val="20"/>
                <w:color w:val="auto"/>
              </w:rPr>
            </w:pPr>
            <w:r>
              <w:rPr>
                <w:rFonts w:ascii="Arial" w:cs="Arial" w:eastAsia="Arial" w:hAnsi="Arial"/>
                <w:sz w:val="18"/>
                <w:szCs w:val="18"/>
                <w:color w:val="auto"/>
              </w:rPr>
              <w:t>Total</w:t>
            </w:r>
          </w:p>
        </w:tc>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5"/>
              </w:rPr>
              <w:t>272,800</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3"/>
              </w:rPr>
              <w:t>(138,521)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8"/>
              </w:rPr>
              <w:t>296,465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95"/>
              </w:rPr>
              <w:t>(125,633)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00" w:firstLine="319"/>
        <w:spacing w:after="0" w:line="266" w:lineRule="auto"/>
        <w:rPr>
          <w:sz w:val="20"/>
          <w:szCs w:val="20"/>
          <w:color w:val="auto"/>
        </w:rPr>
      </w:pPr>
      <w:r>
        <w:rPr>
          <w:rFonts w:ascii="Arial" w:cs="Arial" w:eastAsia="Arial" w:hAnsi="Arial"/>
          <w:sz w:val="18"/>
          <w:szCs w:val="18"/>
          <w:color w:val="auto"/>
        </w:rPr>
        <w:t>Gross intangible assets decreased $26.6 million in fiscal 2019 due to the removal of fully amortized assets. This decrease was offset by $3.0 million for the addition of certain assets acquired from Qulsar.</w:t>
      </w:r>
    </w:p>
    <w:p>
      <w:pPr>
        <w:spacing w:after="0" w:line="179" w:lineRule="exact"/>
        <w:rPr>
          <w:sz w:val="20"/>
          <w:szCs w:val="20"/>
          <w:color w:val="auto"/>
        </w:rPr>
      </w:pPr>
    </w:p>
    <w:p>
      <w:pPr>
        <w:ind w:right="80" w:firstLine="319"/>
        <w:spacing w:after="0" w:line="256" w:lineRule="auto"/>
        <w:rPr>
          <w:sz w:val="20"/>
          <w:szCs w:val="20"/>
          <w:color w:val="auto"/>
        </w:rPr>
      </w:pPr>
      <w:r>
        <w:rPr>
          <w:rFonts w:ascii="Arial" w:cs="Arial" w:eastAsia="Arial" w:hAnsi="Arial"/>
          <w:sz w:val="18"/>
          <w:szCs w:val="18"/>
          <w:color w:val="auto"/>
        </w:rPr>
        <w:t>Amortization expense related to intangible assets for fiscal 2019, 2018 and 2017 was $39.5 million, $38.0 million and $27.1 million, respectively. The estimated aggregate amortization expense for intangible assets subject to amortization for each of the five succeeding fiscal years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80" w:type="dxa"/>
            <w:vAlign w:val="bottom"/>
            <w:gridSpan w:val="2"/>
          </w:tcPr>
          <w:p>
            <w:pPr>
              <w:ind w:left="1000"/>
              <w:spacing w:after="0"/>
              <w:rPr>
                <w:sz w:val="20"/>
                <w:szCs w:val="20"/>
                <w:color w:val="auto"/>
              </w:rPr>
            </w:pPr>
            <w:r>
              <w:rPr>
                <w:rFonts w:ascii="Arial" w:cs="Arial" w:eastAsia="Arial" w:hAnsi="Arial"/>
                <w:sz w:val="14"/>
                <w:szCs w:val="14"/>
                <w:b w:val="1"/>
                <w:bCs w:val="1"/>
                <w:color w:val="auto"/>
              </w:rPr>
              <w:t>Fiscal Year</w:t>
            </w:r>
          </w:p>
        </w:tc>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6"/>
        </w:trPr>
        <w:tc>
          <w:tcPr>
            <w:tcW w:w="1020" w:type="dxa"/>
            <w:vAlign w:val="bottom"/>
          </w:tcPr>
          <w:p>
            <w:pPr>
              <w:spacing w:after="0"/>
              <w:rPr>
                <w:sz w:val="17"/>
                <w:szCs w:val="17"/>
                <w:color w:val="auto"/>
              </w:rPr>
            </w:pPr>
          </w:p>
        </w:tc>
        <w:tc>
          <w:tcPr>
            <w:tcW w:w="22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2020</w:t>
            </w:r>
          </w:p>
        </w:tc>
        <w:tc>
          <w:tcPr>
            <w:tcW w:w="4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right"/>
              <w:ind w:right="91"/>
              <w:spacing w:after="0" w:line="20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38,100</w:t>
            </w:r>
          </w:p>
        </w:tc>
        <w:tc>
          <w:tcPr>
            <w:tcW w:w="1000" w:type="dxa"/>
            <w:vAlign w:val="bottom"/>
          </w:tcPr>
          <w:p>
            <w:pPr>
              <w:spacing w:after="0"/>
              <w:rPr>
                <w:sz w:val="17"/>
                <w:szCs w:val="17"/>
                <w:color w:val="auto"/>
              </w:rPr>
            </w:pPr>
          </w:p>
        </w:tc>
      </w:tr>
      <w:tr>
        <w:trPr>
          <w:trHeight w:val="213"/>
        </w:trPr>
        <w:tc>
          <w:tcPr>
            <w:tcW w:w="10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2021</w:t>
            </w:r>
          </w:p>
        </w:tc>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33,266</w:t>
            </w:r>
          </w:p>
        </w:tc>
        <w:tc>
          <w:tcPr>
            <w:tcW w:w="1000" w:type="dxa"/>
            <w:vAlign w:val="bottom"/>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23,801</w:t>
            </w:r>
          </w:p>
        </w:tc>
        <w:tc>
          <w:tcPr>
            <w:tcW w:w="1000" w:type="dxa"/>
            <w:vAlign w:val="bottom"/>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2023</w:t>
            </w:r>
          </w:p>
        </w:tc>
        <w:tc>
          <w:tcPr>
            <w:tcW w:w="4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18,029</w:t>
            </w:r>
          </w:p>
        </w:tc>
        <w:tc>
          <w:tcPr>
            <w:tcW w:w="1000" w:type="dxa"/>
            <w:vAlign w:val="bottom"/>
          </w:tcPr>
          <w:p>
            <w:pPr>
              <w:spacing w:after="0"/>
              <w:rPr>
                <w:sz w:val="18"/>
                <w:szCs w:val="18"/>
                <w:color w:val="auto"/>
              </w:rPr>
            </w:pPr>
          </w:p>
        </w:tc>
      </w:tr>
      <w:tr>
        <w:trPr>
          <w:trHeight w:val="213"/>
        </w:trPr>
        <w:tc>
          <w:tcPr>
            <w:tcW w:w="10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w:t>
            </w:r>
          </w:p>
        </w:tc>
        <w:tc>
          <w:tcPr>
            <w:tcW w:w="1000" w:type="dxa"/>
            <w:vAlign w:val="bottom"/>
          </w:tcPr>
          <w:p>
            <w:pPr>
              <w:spacing w:after="0"/>
              <w:rPr>
                <w:sz w:val="18"/>
                <w:szCs w:val="18"/>
                <w:color w:val="auto"/>
              </w:rPr>
            </w:pPr>
          </w:p>
        </w:tc>
      </w:tr>
      <w:tr>
        <w:trPr>
          <w:trHeight w:val="863"/>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60" w:type="dxa"/>
            <w:vAlign w:val="bottom"/>
            <w:gridSpan w:val="2"/>
          </w:tcPr>
          <w:p>
            <w:pPr>
              <w:jc w:val="right"/>
              <w:ind w:right="3051"/>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3"/>
        </w:trPr>
        <w:tc>
          <w:tcPr>
            <w:tcW w:w="10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513" w:right="8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1.375% Convertible Senior Notes</w:t>
      </w:r>
    </w:p>
    <w:p>
      <w:pPr>
        <w:spacing w:after="0" w:line="218" w:lineRule="exact"/>
        <w:rPr>
          <w:sz w:val="20"/>
          <w:szCs w:val="20"/>
          <w:color w:val="auto"/>
        </w:rPr>
      </w:pPr>
    </w:p>
    <w:p>
      <w:pPr>
        <w:ind w:right="160" w:firstLine="319"/>
        <w:spacing w:after="0" w:line="253" w:lineRule="auto"/>
        <w:rPr>
          <w:sz w:val="20"/>
          <w:szCs w:val="20"/>
          <w:color w:val="auto"/>
        </w:rPr>
      </w:pPr>
      <w:r>
        <w:rPr>
          <w:rFonts w:ascii="Arial" w:cs="Arial" w:eastAsia="Arial" w:hAnsi="Arial"/>
          <w:sz w:val="18"/>
          <w:szCs w:val="18"/>
          <w:color w:val="auto"/>
        </w:rPr>
        <w:t>On March 6, 2017, the Company completed a private offering of $400 million principal amount convertible senior notes (the “Notes”). The Notes bear interest semi-annually at a rate of 1.375% per year and will mature on March 1, 2022, unless repurchased, redeemed or converted at an earlier date. The Company used $72.5 million of the proceeds to pay off the then remaining balance under its credit agreement.</w:t>
      </w:r>
    </w:p>
    <w:p>
      <w:pPr>
        <w:spacing w:after="0" w:line="190" w:lineRule="exact"/>
        <w:rPr>
          <w:sz w:val="20"/>
          <w:szCs w:val="20"/>
          <w:color w:val="auto"/>
        </w:rPr>
      </w:pPr>
    </w:p>
    <w:p>
      <w:pPr>
        <w:ind w:firstLine="319"/>
        <w:spacing w:after="0" w:line="263" w:lineRule="auto"/>
        <w:rPr>
          <w:sz w:val="20"/>
          <w:szCs w:val="20"/>
          <w:color w:val="auto"/>
        </w:rPr>
      </w:pPr>
      <w:r>
        <w:rPr>
          <w:rFonts w:ascii="Arial" w:cs="Arial" w:eastAsia="Arial" w:hAnsi="Arial"/>
          <w:sz w:val="17"/>
          <w:szCs w:val="17"/>
          <w:color w:val="auto"/>
        </w:rPr>
        <w:t>The Notes are convertible at an initial conversion rate of 10.7744 shares of common stock per $1,000 principal amount of the Notes, or approximately 4.3 million shares of common stock, which is equivalent to a conversion price of approximately $92.81 per share. The conversion rate is subject to adjustment under certain circumstances. Holders may convert the Notes under the following circumstances: during any calendar quarter after the calendar quarter ended on June 30, 2017 if the closing price of the Company’s common stock for at least 20 trading days in the 30 consecutive trading days ending on the last trading day of the preceding calendar quarter is greater than or equal to $120.66 per share, representing 130% of the conversion price of the Notes; during the five business day period after any ten consecutive trading day period (the “measurement period”) in which the trading price per $1,000 principal amount of notes for each trading day of the measurement period was less than 98% of the product of the closing sale price of our common stock and the conversion rate on each such trading day; if specified distributions or corporate events occur; if the Notes are called for redemption; or at any time after December 1, 2021. The Company may redeem all or any portion of the Notes, at its option, on or after March 6, 2020, if the last reported sale price of the Company’s common stock has been at least 130% of the conversion price then in effect for at least 20 trading days during any 30 consecutive trading day period. Upon conversion, the Notes may be settled in cash, shares of the Company’s common stock or a combination of cash and shares, at the Company’s election.</w:t>
      </w:r>
    </w:p>
    <w:p>
      <w:pPr>
        <w:spacing w:after="0" w:line="192" w:lineRule="exact"/>
        <w:rPr>
          <w:sz w:val="20"/>
          <w:szCs w:val="20"/>
          <w:color w:val="auto"/>
        </w:rPr>
      </w:pPr>
    </w:p>
    <w:p>
      <w:pPr>
        <w:ind w:right="20" w:firstLine="319"/>
        <w:spacing w:after="0" w:line="294" w:lineRule="auto"/>
        <w:rPr>
          <w:sz w:val="20"/>
          <w:szCs w:val="20"/>
          <w:color w:val="auto"/>
        </w:rPr>
      </w:pPr>
      <w:r>
        <w:rPr>
          <w:rFonts w:ascii="Arial" w:cs="Arial" w:eastAsia="Arial" w:hAnsi="Arial"/>
          <w:sz w:val="16"/>
          <w:szCs w:val="16"/>
          <w:color w:val="auto"/>
        </w:rPr>
        <w:t>The principal balance of the Notes was separated into liability and equity components, and was recorded initially at fair value. The excess of the principal amount of the liability component over its carrying amount represents the debt discount, which is amortized to interest expense over the term of the Notes using the effective interest method. The carrying amount of the liability component was estimated by discounting the contractual cash flows of similar non-convertible debt at an appropriate market rate at the date of issuance.</w:t>
      </w:r>
    </w:p>
    <w:p>
      <w:pPr>
        <w:spacing w:after="0" w:line="162"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color w:val="auto"/>
        </w:rPr>
        <w:t>The Company incurred debt issuance costs of approximately $10.6 million, which was allocated to the liability and equity components in proportion to the allocation of the proceeds. The costs allocated to the liability component are being amortized as interest expense over the term of the Notes using the effective interest method.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amount of the Notes consisted of the following (in thousands):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28,</w:t>
            </w:r>
          </w:p>
        </w:tc>
        <w:tc>
          <w:tcPr>
            <w:tcW w:w="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Liability component</w:t>
            </w: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Principal</w:t>
            </w:r>
          </w:p>
        </w:tc>
        <w:tc>
          <w:tcPr>
            <w:tcW w:w="19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Unamortized debt discount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Unamortized debt issuance costs</w:t>
            </w: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80" w:type="dxa"/>
            <w:vAlign w:val="bottom"/>
            <w:tcBorders>
              <w:bottom w:val="single" w:sz="8" w:color="CCEEFF"/>
            </w:tcBorders>
            <w:shd w:val="clear" w:color="auto" w:fill="CCEEFF"/>
          </w:tcPr>
          <w:p>
            <w:pPr>
              <w:ind w:left="120"/>
              <w:spacing w:after="0" w:line="206" w:lineRule="exact"/>
              <w:rPr>
                <w:sz w:val="20"/>
                <w:szCs w:val="20"/>
                <w:color w:val="auto"/>
              </w:rPr>
            </w:pPr>
            <w:r>
              <w:rPr>
                <w:rFonts w:ascii="Arial" w:cs="Arial" w:eastAsia="Arial" w:hAnsi="Arial"/>
                <w:sz w:val="18"/>
                <w:szCs w:val="18"/>
                <w:color w:val="auto"/>
              </w:rPr>
              <w:t>Net carrying amount</w:t>
            </w:r>
          </w:p>
        </w:tc>
        <w:tc>
          <w:tcPr>
            <w:tcW w:w="1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368,257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354,771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tcPr>
          <w:p>
            <w:pPr>
              <w:spacing w:after="0"/>
              <w:rPr>
                <w:sz w:val="16"/>
                <w:szCs w:val="16"/>
                <w:color w:val="auto"/>
              </w:rPr>
            </w:pPr>
          </w:p>
        </w:tc>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component</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Net carrying amount</w:t>
            </w:r>
          </w:p>
        </w:tc>
        <w:tc>
          <w:tcPr>
            <w:tcW w:w="19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57,735</w:t>
            </w:r>
          </w:p>
        </w:tc>
        <w:tc>
          <w:tcPr>
            <w:tcW w:w="1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180" w:firstLine="319"/>
        <w:spacing w:after="0" w:line="278" w:lineRule="auto"/>
        <w:rPr>
          <w:sz w:val="20"/>
          <w:szCs w:val="20"/>
          <w:color w:val="auto"/>
        </w:rPr>
      </w:pPr>
      <w:r>
        <w:rPr>
          <w:rFonts w:ascii="Arial" w:cs="Arial" w:eastAsia="Arial" w:hAnsi="Arial"/>
          <w:sz w:val="17"/>
          <w:szCs w:val="17"/>
          <w:color w:val="auto"/>
        </w:rPr>
        <w:t>The liability component of the Notes is recorded in convertible debt on the Consolidated Balance Sheet. The equity component of the Notes is recorded in additional paid-in capital. The effective interest rate for the liability component was 4.75%. As of December 28, 2019, the remaining period over which the debt discount and debt issuance costs will be amortized was 2.2 years.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40"/>
          </w:cols>
          <w:pgMar w:left="920" w:top="513" w:right="9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(Continued)</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 related to the Notes was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17"/>
        </w:trPr>
        <w:tc>
          <w:tcPr>
            <w:tcW w:w="45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8"/>
              <w:spacing w:after="0" w:line="117" w:lineRule="exact"/>
              <w:rPr>
                <w:sz w:val="20"/>
                <w:szCs w:val="20"/>
                <w:color w:val="auto"/>
              </w:rPr>
            </w:pPr>
            <w:r>
              <w:rPr>
                <w:rFonts w:ascii="Arial" w:cs="Arial" w:eastAsia="Arial" w:hAnsi="Arial"/>
                <w:sz w:val="13"/>
                <w:szCs w:val="13"/>
                <w:b w:val="1"/>
                <w:bCs w:val="1"/>
                <w:color w:val="auto"/>
                <w:w w:val="96"/>
              </w:rPr>
              <w:t>December 28,</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0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38"/>
              <w:spacing w:after="0" w:line="117" w:lineRule="exact"/>
              <w:rPr>
                <w:sz w:val="20"/>
                <w:szCs w:val="20"/>
                <w:color w:val="auto"/>
              </w:rPr>
            </w:pPr>
            <w:r>
              <w:rPr>
                <w:rFonts w:ascii="Arial" w:cs="Arial" w:eastAsia="Arial" w:hAnsi="Arial"/>
                <w:sz w:val="13"/>
                <w:szCs w:val="13"/>
                <w:b w:val="1"/>
                <w:bCs w:val="1"/>
                <w:color w:val="auto"/>
                <w:w w:val="94"/>
              </w:rPr>
              <w:t>December 30,</w:t>
            </w:r>
          </w:p>
        </w:tc>
      </w:tr>
      <w:tr>
        <w:trPr>
          <w:trHeight w:val="169"/>
        </w:trPr>
        <w:tc>
          <w:tcPr>
            <w:tcW w:w="45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2017</w:t>
            </w:r>
          </w:p>
        </w:tc>
      </w:tr>
      <w:tr>
        <w:trPr>
          <w:trHeight w:val="206"/>
        </w:trPr>
        <w:tc>
          <w:tcPr>
            <w:tcW w:w="45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Contractual interest expense</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5,485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4,492</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8,816</w:t>
            </w: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06"/>
        </w:trPr>
        <w:tc>
          <w:tcPr>
            <w:tcW w:w="45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18,970</w:t>
            </w: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18,392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14,638</w:t>
            </w:r>
          </w:p>
        </w:tc>
      </w:tr>
      <w:tr>
        <w:trPr>
          <w:trHeight w:val="20"/>
        </w:trPr>
        <w:tc>
          <w:tcPr>
            <w:tcW w:w="4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192" w:lineRule="exact"/>
        <w:rPr>
          <w:sz w:val="20"/>
          <w:szCs w:val="20"/>
          <w:color w:val="auto"/>
        </w:rPr>
      </w:pPr>
    </w:p>
    <w:p>
      <w:pPr>
        <w:ind w:right="120" w:firstLine="319"/>
        <w:spacing w:after="0" w:line="290" w:lineRule="auto"/>
        <w:rPr>
          <w:sz w:val="20"/>
          <w:szCs w:val="20"/>
          <w:color w:val="auto"/>
        </w:rPr>
      </w:pPr>
      <w:r>
        <w:rPr>
          <w:rFonts w:ascii="Arial" w:cs="Arial" w:eastAsia="Arial" w:hAnsi="Arial"/>
          <w:sz w:val="16"/>
          <w:szCs w:val="16"/>
          <w:color w:val="auto"/>
        </w:rPr>
        <w:t>On August 7, 2019, the Company and certain of its domestic subsidiaries (the “Guarantors”) amended its existing credit agreement. The amended agreement (the “Credit Facility”) consists of a $400 million revolving credit facility with a maturity date of August 7, 2024. The Credit Facility includes a $25 million letter of credit sublimit and a $10 million swingline loan sublimit. The Company also has an option to increase the size of the borrowing capacity by up to the greater of an aggregate of $250 million and 100% of EBITDA, plus an amount that would not cause a secured leverage ratio (funded debt secured by assets/EBITDA) to exceed 3.25 to 1.00, subject to certain conditions.</w:t>
      </w:r>
    </w:p>
    <w:p>
      <w:pPr>
        <w:spacing w:after="0" w:line="124" w:lineRule="exact"/>
        <w:rPr>
          <w:sz w:val="20"/>
          <w:szCs w:val="20"/>
          <w:color w:val="auto"/>
        </w:rPr>
      </w:pPr>
    </w:p>
    <w:p>
      <w:pPr>
        <w:ind w:right="100" w:firstLine="319"/>
        <w:spacing w:after="0" w:line="269" w:lineRule="auto"/>
        <w:rPr>
          <w:sz w:val="20"/>
          <w:szCs w:val="20"/>
          <w:color w:val="auto"/>
        </w:rPr>
      </w:pPr>
      <w:r>
        <w:rPr>
          <w:rFonts w:ascii="Arial" w:cs="Arial" w:eastAsia="Arial" w:hAnsi="Arial"/>
          <w:sz w:val="17"/>
          <w:szCs w:val="17"/>
          <w:color w:val="auto"/>
        </w:rPr>
        <w:t>The revolving credit facility, other than swingline loans, will bear interest at the Eurodollar rate plus an applicable margin or, at the option of the Company, a base rate (defined as the highest of the Wells Fargo prime rate, the Federal Funds rate plus 0.50% and the Eurodollar Base Rate plus 1.00%) plus an applicable margin. Swingline loans accrue interest at the base rate plus the applicable margin for base rate loans. The applicable margins for the Eurodollar rate loans range from 1.00% to 1.75% and for base rate loans range from 0.00% to 0.75%, depending in each case, on the leverage ratio as defined in the Credit Facility.</w:t>
      </w:r>
    </w:p>
    <w:p>
      <w:pPr>
        <w:spacing w:after="0" w:line="140" w:lineRule="exact"/>
        <w:rPr>
          <w:sz w:val="20"/>
          <w:szCs w:val="20"/>
          <w:color w:val="auto"/>
        </w:rPr>
      </w:pPr>
    </w:p>
    <w:p>
      <w:pPr>
        <w:ind w:right="140" w:firstLine="319"/>
        <w:spacing w:after="0" w:line="268" w:lineRule="auto"/>
        <w:rPr>
          <w:sz w:val="20"/>
          <w:szCs w:val="20"/>
          <w:color w:val="auto"/>
        </w:rPr>
      </w:pPr>
      <w:r>
        <w:rPr>
          <w:rFonts w:ascii="Arial" w:cs="Arial" w:eastAsia="Arial" w:hAnsi="Arial"/>
          <w:sz w:val="17"/>
          <w:szCs w:val="17"/>
          <w:color w:val="auto"/>
        </w:rPr>
        <w:t>The Credit Facility contains various conditions, covenants and representations with which the Company must be in compliance in order to borrow funds and to avoid an event of default, including financial covenants that the Company must maintain a leverage ratio (funded debt/EBITDA) of no more than 4.25 to 1, a secured leverage ratio of no more than 3.50 to 1, and a minimum interest coverage ratio (EBITDA/interest payments) of no less than 2.50 to 1. As of December 28, 2019, the Company was in compliance with all covenants of the Credit Facility. The Company’s obligations under the Credit Facility are guaranteed by the Guarantors and are secured by a security interest in substantially all assets of the Company and the Guarantors.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4" w:lineRule="exact"/>
        <w:rPr>
          <w:sz w:val="20"/>
          <w:szCs w:val="20"/>
          <w:color w:val="auto"/>
        </w:rPr>
      </w:pPr>
    </w:p>
    <w:p>
      <w:pPr>
        <w:ind w:right="660" w:firstLine="319"/>
        <w:spacing w:after="0" w:line="329" w:lineRule="auto"/>
        <w:rPr>
          <w:sz w:val="20"/>
          <w:szCs w:val="20"/>
          <w:color w:val="auto"/>
        </w:rPr>
      </w:pPr>
      <w:r>
        <w:rPr>
          <w:rFonts w:ascii="Arial" w:cs="Arial" w:eastAsia="Arial" w:hAnsi="Arial"/>
          <w:sz w:val="16"/>
          <w:szCs w:val="16"/>
          <w:color w:val="auto"/>
        </w:rPr>
        <w:t>The Company leases certain facilities under operating lease agreements that expire at various dates through 2027. Some of these arrangements contain renewal options and require the Company to pay taxes, insurance and maintenance costs.</w:t>
      </w:r>
    </w:p>
    <w:p>
      <w:pPr>
        <w:spacing w:after="0" w:line="133" w:lineRule="exact"/>
        <w:rPr>
          <w:sz w:val="20"/>
          <w:szCs w:val="20"/>
          <w:color w:val="auto"/>
        </w:rPr>
      </w:pPr>
    </w:p>
    <w:p>
      <w:pPr>
        <w:jc w:val="both"/>
        <w:ind w:right="180" w:firstLine="319"/>
        <w:spacing w:after="0" w:line="303" w:lineRule="auto"/>
        <w:rPr>
          <w:sz w:val="20"/>
          <w:szCs w:val="20"/>
          <w:color w:val="auto"/>
        </w:rPr>
      </w:pPr>
      <w:r>
        <w:rPr>
          <w:rFonts w:ascii="Arial" w:cs="Arial" w:eastAsia="Arial" w:hAnsi="Arial"/>
          <w:sz w:val="16"/>
          <w:szCs w:val="16"/>
          <w:color w:val="auto"/>
        </w:rPr>
        <w:t xml:space="preserve">The Company adopted ASC Topic 842, </w:t>
      </w:r>
      <w:r>
        <w:rPr>
          <w:rFonts w:ascii="Arial" w:cs="Arial" w:eastAsia="Arial" w:hAnsi="Arial"/>
          <w:sz w:val="16"/>
          <w:szCs w:val="16"/>
          <w:i w:val="1"/>
          <w:iCs w:val="1"/>
          <w:color w:val="auto"/>
        </w:rPr>
        <w:t>Leases</w:t>
      </w:r>
      <w:r>
        <w:rPr>
          <w:rFonts w:ascii="Arial" w:cs="Arial" w:eastAsia="Arial" w:hAnsi="Arial"/>
          <w:sz w:val="16"/>
          <w:szCs w:val="16"/>
          <w:color w:val="auto"/>
        </w:rPr>
        <w:t>, on December 30, 2018, the first day of its fiscal 2019. Lease costs for operating leases were $5.8 million during fiscal 2019. The Company elected the practical expedient to not provide comparable presentation for periods prior to adoption. Rent expense for operating leases was $6.0 million and $5.5 million for fiscal 2018 and 2017,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Lease Information</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Information (in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December 28,</w:t>
            </w:r>
          </w:p>
        </w:tc>
        <w:tc>
          <w:tcPr>
            <w:tcW w:w="0" w:type="dxa"/>
            <w:vAlign w:val="bottom"/>
          </w:tcPr>
          <w:p>
            <w:pPr>
              <w:spacing w:after="0"/>
              <w:rPr>
                <w:sz w:val="1"/>
                <w:szCs w:val="1"/>
                <w:color w:val="auto"/>
              </w:rPr>
            </w:pPr>
          </w:p>
        </w:tc>
      </w:tr>
      <w:tr>
        <w:trPr>
          <w:trHeight w:val="169"/>
        </w:trPr>
        <w:tc>
          <w:tcPr>
            <w:tcW w:w="6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4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Operating lease right-of-use assets</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16,086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338"/>
        </w:trPr>
        <w:tc>
          <w:tcPr>
            <w:tcW w:w="6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Cash Flow Information (in thousands)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9"/>
        </w:trPr>
        <w:tc>
          <w:tcPr>
            <w:tcW w:w="6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December 28, 2019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Cash paid for operating lease liabilities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3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920" w:top="513" w:right="899" w:bottom="144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 (Continued)</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60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Operating Lease Information</w:t>
            </w:r>
          </w:p>
        </w:tc>
        <w:tc>
          <w:tcPr>
            <w:tcW w:w="114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69"/>
        </w:trPr>
        <w:tc>
          <w:tcPr>
            <w:tcW w:w="76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7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Weighted-average remaining lease term</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33"/>
              <w:spacing w:after="0" w:line="206" w:lineRule="exact"/>
              <w:rPr>
                <w:sz w:val="20"/>
                <w:szCs w:val="20"/>
                <w:color w:val="auto"/>
              </w:rPr>
            </w:pPr>
            <w:r>
              <w:rPr>
                <w:rFonts w:ascii="Arial" w:cs="Arial" w:eastAsia="Arial" w:hAnsi="Arial"/>
                <w:sz w:val="18"/>
                <w:szCs w:val="18"/>
                <w:color w:val="auto"/>
                <w:w w:val="86"/>
              </w:rPr>
              <w:t>4.5 years</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5.26 %</w:t>
            </w:r>
          </w:p>
        </w:tc>
        <w:tc>
          <w:tcPr>
            <w:tcW w:w="0" w:type="dxa"/>
            <w:vAlign w:val="bottom"/>
          </w:tcPr>
          <w:p>
            <w:pPr>
              <w:spacing w:after="0"/>
              <w:rPr>
                <w:sz w:val="1"/>
                <w:szCs w:val="1"/>
                <w:color w:val="auto"/>
              </w:rPr>
            </w:pPr>
          </w:p>
        </w:tc>
      </w:tr>
      <w:tr>
        <w:trPr>
          <w:trHeight w:val="413"/>
        </w:trPr>
        <w:tc>
          <w:tcPr>
            <w:tcW w:w="7600" w:type="dxa"/>
            <w:vAlign w:val="bottom"/>
            <w:gridSpan w:val="4"/>
          </w:tcPr>
          <w:p>
            <w:pPr>
              <w:spacing w:after="0"/>
              <w:rPr>
                <w:sz w:val="20"/>
                <w:szCs w:val="20"/>
                <w:color w:val="auto"/>
              </w:rPr>
            </w:pPr>
            <w:r>
              <w:rPr>
                <w:rFonts w:ascii="Arial" w:cs="Arial" w:eastAsia="Arial" w:hAnsi="Arial"/>
                <w:sz w:val="18"/>
                <w:szCs w:val="18"/>
                <w:color w:val="auto"/>
                <w:w w:val="95"/>
              </w:rPr>
              <w:t>The maturities of operating lease liabilities as of December 28, 2019 were as follows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600" w:type="dxa"/>
            <w:vAlign w:val="bottom"/>
            <w:gridSpan w:val="4"/>
          </w:tcPr>
          <w:p>
            <w:pPr>
              <w:ind w:left="68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7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gridSpan w:val="2"/>
            <w:shd w:val="clear" w:color="auto" w:fill="CCEEFF"/>
          </w:tcPr>
          <w:p>
            <w:pPr>
              <w:ind w:left="160"/>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6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900" w:type="dxa"/>
            <w:vAlign w:val="bottom"/>
            <w:gridSpan w:val="3"/>
            <w:shd w:val="clear" w:color="auto" w:fill="CCEEFF"/>
          </w:tcPr>
          <w:p>
            <w:pPr>
              <w:spacing w:after="0" w:line="205" w:lineRule="exact"/>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20,584</w:t>
            </w: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69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06"/>
        </w:trPr>
        <w:tc>
          <w:tcPr>
            <w:tcW w:w="700" w:type="dxa"/>
            <w:vAlign w:val="bottom"/>
          </w:tcPr>
          <w:p>
            <w:pPr>
              <w:spacing w:after="0"/>
              <w:rPr>
                <w:sz w:val="17"/>
                <w:szCs w:val="17"/>
                <w:color w:val="auto"/>
              </w:rPr>
            </w:pPr>
          </w:p>
        </w:tc>
        <w:tc>
          <w:tcPr>
            <w:tcW w:w="6900" w:type="dxa"/>
            <w:vAlign w:val="bottom"/>
            <w:tcBorders>
              <w:bottom w:val="single" w:sz="8" w:color="CCEEFF"/>
            </w:tcBorders>
            <w:gridSpan w:val="3"/>
            <w:shd w:val="clear" w:color="auto" w:fill="CCEEFF"/>
          </w:tcPr>
          <w:p>
            <w:pPr>
              <w:spacing w:after="0" w:line="206" w:lineRule="exact"/>
              <w:rPr>
                <w:sz w:val="20"/>
                <w:szCs w:val="20"/>
                <w:color w:val="auto"/>
              </w:rPr>
            </w:pPr>
            <w:r>
              <w:rPr>
                <w:rFonts w:ascii="Arial" w:cs="Arial" w:eastAsia="Arial" w:hAnsi="Arial"/>
                <w:sz w:val="18"/>
                <w:szCs w:val="18"/>
                <w:color w:val="auto"/>
              </w:rPr>
              <w:t>Total lease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Commitment</w:t>
      </w:r>
    </w:p>
    <w:p>
      <w:pPr>
        <w:spacing w:after="0" w:line="218" w:lineRule="exact"/>
        <w:rPr>
          <w:sz w:val="20"/>
          <w:szCs w:val="20"/>
          <w:color w:val="auto"/>
        </w:rPr>
      </w:pPr>
    </w:p>
    <w:p>
      <w:pPr>
        <w:ind w:right="180" w:firstLine="319"/>
        <w:spacing w:after="0" w:line="266" w:lineRule="auto"/>
        <w:rPr>
          <w:sz w:val="20"/>
          <w:szCs w:val="20"/>
          <w:color w:val="auto"/>
        </w:rPr>
      </w:pPr>
      <w:r>
        <w:rPr>
          <w:rFonts w:ascii="Arial" w:cs="Arial" w:eastAsia="Arial" w:hAnsi="Arial"/>
          <w:sz w:val="18"/>
          <w:szCs w:val="18"/>
          <w:color w:val="auto"/>
        </w:rPr>
        <w:t>The Company has committed to invest up to $10.0 million in a limited partnership, of which approximately $6.6 million was funded through December 28,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8" w:lineRule="exact"/>
        <w:rPr>
          <w:sz w:val="20"/>
          <w:szCs w:val="20"/>
          <w:color w:val="auto"/>
        </w:rPr>
      </w:pPr>
    </w:p>
    <w:p>
      <w:pPr>
        <w:ind w:right="300" w:firstLine="319"/>
        <w:spacing w:after="0" w:line="256" w:lineRule="auto"/>
        <w:rPr>
          <w:sz w:val="20"/>
          <w:szCs w:val="20"/>
          <w:color w:val="auto"/>
        </w:rPr>
      </w:pPr>
      <w:r>
        <w:rPr>
          <w:rFonts w:ascii="Arial" w:cs="Arial" w:eastAsia="Arial" w:hAnsi="Arial"/>
          <w:sz w:val="18"/>
          <w:szCs w:val="18"/>
          <w:color w:val="auto"/>
        </w:rPr>
        <w:t>The Company is involved in various legal proceedings that have arisen in the normal course of business. While the ultimate results cannot be predicted with certainty, the Company does not expect them to have a material adverse effect on its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issued 0.7 million shares of common stock during fiscal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218" w:lineRule="exact"/>
        <w:rPr>
          <w:sz w:val="20"/>
          <w:szCs w:val="20"/>
          <w:color w:val="auto"/>
        </w:rPr>
      </w:pPr>
    </w:p>
    <w:p>
      <w:pPr>
        <w:ind w:firstLine="319"/>
        <w:spacing w:after="0" w:line="269" w:lineRule="auto"/>
        <w:rPr>
          <w:sz w:val="20"/>
          <w:szCs w:val="20"/>
          <w:color w:val="auto"/>
        </w:rPr>
      </w:pPr>
      <w:r>
        <w:rPr>
          <w:rFonts w:ascii="Arial" w:cs="Arial" w:eastAsia="Arial" w:hAnsi="Arial"/>
          <w:sz w:val="17"/>
          <w:szCs w:val="17"/>
          <w:color w:val="auto"/>
        </w:rPr>
        <w:t>The Company’s existing share repurchase program has an authorization amount of $200 million and a termination date of December 2020. This program allows for repurchases to be made in the open market or in private transactions, including structured or accelerated transactions, subject to applicable legal requirements and market conditions. The Company repurchased 0.3 million shares and 0.4 million shares of its common stock for $26.7 million and $39.3 million during fiscal 2019 and 2018, respectively. The Company did not repurchase any shares of its common stock during fiscal 2017. These shares were retired upon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9880"/>
          </w:cols>
          <w:pgMar w:left="920" w:top="513" w:right="10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 From Accumulated Other Comprehensive Income (Loss)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effect on net income from reclassifications out of accumulated other comprehensive income (loss)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Reclassification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6"/>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6"/>
              <w:spacing w:after="0" w:line="117" w:lineRule="exact"/>
              <w:rPr>
                <w:sz w:val="20"/>
                <w:szCs w:val="20"/>
                <w:color w:val="auto"/>
              </w:rPr>
            </w:pPr>
            <w:r>
              <w:rPr>
                <w:rFonts w:ascii="Arial" w:cs="Arial" w:eastAsia="Arial" w:hAnsi="Arial"/>
                <w:sz w:val="13"/>
                <w:szCs w:val="13"/>
                <w:b w:val="1"/>
                <w:bCs w:val="1"/>
                <w:color w:val="auto"/>
                <w:w w:val="99"/>
              </w:rPr>
              <w:t>December 30,</w:t>
            </w:r>
          </w:p>
        </w:tc>
        <w:tc>
          <w:tcPr>
            <w:tcW w:w="0" w:type="dxa"/>
            <w:vAlign w:val="bottom"/>
          </w:tcPr>
          <w:p>
            <w:pPr>
              <w:spacing w:after="0"/>
              <w:rPr>
                <w:sz w:val="1"/>
                <w:szCs w:val="1"/>
                <w:color w:val="auto"/>
              </w:rPr>
            </w:pPr>
          </w:p>
        </w:tc>
      </w:tr>
      <w:tr>
        <w:trPr>
          <w:trHeight w:val="169"/>
        </w:trPr>
        <w:tc>
          <w:tcPr>
            <w:tcW w:w="6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Gains (losses) on available-for-sales securities to:</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Interest income and other, net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Gains (losses) on cash flow hedges to:</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(566)</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(365)</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6"/>
        </w:trPr>
        <w:tc>
          <w:tcPr>
            <w:tcW w:w="6000" w:type="dxa"/>
            <w:vAlign w:val="bottom"/>
            <w:gridSpan w:val="2"/>
          </w:tcPr>
          <w:p>
            <w:pPr>
              <w:spacing w:after="0" w:line="206" w:lineRule="exact"/>
              <w:rPr>
                <w:sz w:val="20"/>
                <w:szCs w:val="20"/>
                <w:color w:val="auto"/>
              </w:rPr>
            </w:pPr>
            <w:r>
              <w:rPr>
                <w:rFonts w:ascii="Arial" w:cs="Arial" w:eastAsia="Arial" w:hAnsi="Arial"/>
                <w:sz w:val="18"/>
                <w:szCs w:val="18"/>
                <w:color w:val="auto"/>
              </w:rPr>
              <w:t>Total reclassifications</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(447)</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(288)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Allocated to the Components of Other Comprehensive Income (Loss)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income tax effects of the components of other comprehensive income (loss)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tax (expense) benefit on: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7"/>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7"/>
              <w:spacing w:after="0" w:line="117" w:lineRule="exact"/>
              <w:rPr>
                <w:sz w:val="20"/>
                <w:szCs w:val="20"/>
                <w:color w:val="auto"/>
              </w:rPr>
            </w:pPr>
            <w:r>
              <w:rPr>
                <w:rFonts w:ascii="Arial" w:cs="Arial" w:eastAsia="Arial" w:hAnsi="Arial"/>
                <w:sz w:val="13"/>
                <w:szCs w:val="13"/>
                <w:b w:val="1"/>
                <w:bCs w:val="1"/>
                <w:color w:val="auto"/>
                <w:w w:val="99"/>
              </w:rPr>
              <w:t>December 30,</w:t>
            </w:r>
          </w:p>
        </w:tc>
        <w:tc>
          <w:tcPr>
            <w:tcW w:w="0" w:type="dxa"/>
            <w:vAlign w:val="bottom"/>
          </w:tcPr>
          <w:p>
            <w:pPr>
              <w:spacing w:after="0"/>
              <w:rPr>
                <w:sz w:val="1"/>
                <w:szCs w:val="1"/>
                <w:color w:val="auto"/>
              </w:rPr>
            </w:pPr>
          </w:p>
        </w:tc>
      </w:tr>
      <w:tr>
        <w:trPr>
          <w:trHeight w:val="169"/>
        </w:trPr>
        <w:tc>
          <w:tcPr>
            <w:tcW w:w="6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Net changes to available-for-sale securities: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Unrealized gains (losses) arising during the period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Reclassification for gains (losses) included in net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changes to cash flow hedges: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Unrealized losses arising during the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Reclassification for gains (losses) included in net income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(589)</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224" w:lineRule="exact"/>
        <w:rPr>
          <w:sz w:val="20"/>
          <w:szCs w:val="20"/>
          <w:color w:val="auto"/>
        </w:rPr>
      </w:pPr>
    </w:p>
    <w:p>
      <w:pPr>
        <w:ind w:right="320" w:firstLine="319"/>
        <w:spacing w:after="0" w:line="266" w:lineRule="auto"/>
        <w:rPr>
          <w:sz w:val="20"/>
          <w:szCs w:val="20"/>
          <w:color w:val="auto"/>
        </w:rPr>
      </w:pPr>
      <w:r>
        <w:rPr>
          <w:rFonts w:ascii="Arial" w:cs="Arial" w:eastAsia="Arial" w:hAnsi="Arial"/>
          <w:sz w:val="18"/>
          <w:szCs w:val="18"/>
          <w:color w:val="auto"/>
        </w:rPr>
        <w:t>The Company groups its revenues into four categories, based on the markets and applications in which its products may be used. The following disaggregates the Company's revenue by product category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13"/>
        </w:trPr>
        <w:tc>
          <w:tcPr>
            <w:tcW w:w="25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right"/>
              <w:ind w:right="77"/>
              <w:spacing w:after="0" w:line="113" w:lineRule="exact"/>
              <w:rPr>
                <w:sz w:val="20"/>
                <w:szCs w:val="20"/>
                <w:color w:val="auto"/>
              </w:rPr>
            </w:pPr>
            <w:r>
              <w:rPr>
                <w:rFonts w:ascii="Arial" w:cs="Arial" w:eastAsia="Arial" w:hAnsi="Arial"/>
                <w:sz w:val="13"/>
                <w:szCs w:val="13"/>
                <w:b w:val="1"/>
                <w:bCs w:val="1"/>
                <w:color w:val="auto"/>
                <w:w w:val="96"/>
              </w:rPr>
              <w:t>December 28,</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right"/>
              <w:ind w:right="59"/>
              <w:spacing w:after="0" w:line="113" w:lineRule="exact"/>
              <w:rPr>
                <w:sz w:val="20"/>
                <w:szCs w:val="20"/>
                <w:color w:val="auto"/>
              </w:rPr>
            </w:pPr>
            <w:r>
              <w:rPr>
                <w:rFonts w:ascii="Arial" w:cs="Arial" w:eastAsia="Arial" w:hAnsi="Arial"/>
                <w:sz w:val="13"/>
                <w:szCs w:val="13"/>
                <w:b w:val="1"/>
                <w:bCs w:val="1"/>
                <w:color w:val="auto"/>
                <w:w w:val="99"/>
              </w:rPr>
              <w:t>December 29,</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ind w:right="78"/>
              <w:spacing w:after="0" w:line="113" w:lineRule="exact"/>
              <w:rPr>
                <w:sz w:val="20"/>
                <w:szCs w:val="20"/>
                <w:color w:val="auto"/>
              </w:rPr>
            </w:pPr>
            <w:r>
              <w:rPr>
                <w:rFonts w:ascii="Arial" w:cs="Arial" w:eastAsia="Arial" w:hAnsi="Arial"/>
                <w:sz w:val="13"/>
                <w:szCs w:val="13"/>
                <w:b w:val="1"/>
                <w:bCs w:val="1"/>
                <w:color w:val="auto"/>
                <w:w w:val="99"/>
              </w:rPr>
              <w:t>December 30,</w:t>
            </w:r>
          </w:p>
        </w:tc>
      </w:tr>
      <w:tr>
        <w:trPr>
          <w:trHeight w:val="173"/>
        </w:trPr>
        <w:tc>
          <w:tcPr>
            <w:tcW w:w="252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8"/>
              <w:spacing w:after="0" w:line="173"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20"/>
                <w:szCs w:val="20"/>
                <w:b w:val="1"/>
                <w:bCs w:val="1"/>
                <w:color w:val="auto"/>
                <w:vertAlign w:val="superscript"/>
              </w:rPr>
              <w:t>(1)</w:t>
            </w:r>
          </w:p>
        </w:tc>
      </w:tr>
      <w:tr>
        <w:trPr>
          <w:trHeight w:val="206"/>
        </w:trPr>
        <w:tc>
          <w:tcPr>
            <w:tcW w:w="25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Internet of Things</w:t>
            </w:r>
          </w:p>
        </w:tc>
        <w:tc>
          <w:tcPr>
            <w:tcW w:w="37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488,156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463,838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395,012</w:t>
            </w:r>
          </w:p>
        </w:tc>
      </w:tr>
      <w:tr>
        <w:trPr>
          <w:trHeight w:val="213"/>
        </w:trPr>
        <w:tc>
          <w:tcPr>
            <w:tcW w:w="2520" w:type="dxa"/>
            <w:vAlign w:val="bottom"/>
          </w:tcPr>
          <w:p>
            <w:pPr>
              <w:spacing w:after="0"/>
              <w:rPr>
                <w:sz w:val="20"/>
                <w:szCs w:val="20"/>
                <w:color w:val="auto"/>
              </w:rPr>
            </w:pPr>
            <w:r>
              <w:rPr>
                <w:rFonts w:ascii="Arial" w:cs="Arial" w:eastAsia="Arial" w:hAnsi="Arial"/>
                <w:sz w:val="18"/>
                <w:szCs w:val="18"/>
                <w:color w:val="auto"/>
              </w:rPr>
              <w:t>Infrastructure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183,189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199,478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152,158</w:t>
            </w:r>
          </w:p>
        </w:tc>
      </w:tr>
      <w:tr>
        <w:trPr>
          <w:trHeight w:val="213"/>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Broadcast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152,980</w:t>
            </w:r>
          </w:p>
        </w:tc>
      </w:tr>
      <w:tr>
        <w:trPr>
          <w:trHeight w:val="213"/>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Access</w:t>
            </w:r>
          </w:p>
        </w:tc>
        <w:tc>
          <w:tcPr>
            <w:tcW w:w="3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68,717</w:t>
            </w:r>
          </w:p>
        </w:tc>
      </w:tr>
      <w:tr>
        <w:trPr>
          <w:trHeight w:val="206"/>
        </w:trPr>
        <w:tc>
          <w:tcPr>
            <w:tcW w:w="25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837,554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868,267</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768,867</w:t>
            </w:r>
          </w:p>
        </w:tc>
      </w:tr>
      <w:tr>
        <w:trPr>
          <w:trHeight w:val="20"/>
        </w:trPr>
        <w:tc>
          <w:tcPr>
            <w:tcW w:w="2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6"/>
        </w:trPr>
        <w:tc>
          <w:tcPr>
            <w:tcW w:w="252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(1) Under the modified retrospective method, amounts prior to fiscal 2018 have not been adjusted.</w:t>
      </w:r>
    </w:p>
    <w:p>
      <w:pPr>
        <w:sectPr>
          <w:pgSz w:w="11900" w:h="16838" w:orient="portrait"/>
          <w:cols w:equalWidth="0" w:num="1">
            <w:col w:w="10080"/>
          </w:cols>
          <w:pgMar w:left="920" w:top="51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 (Continued)</w:t>
      </w:r>
    </w:p>
    <w:p>
      <w:pPr>
        <w:spacing w:after="0" w:line="224" w:lineRule="exact"/>
        <w:rPr>
          <w:sz w:val="20"/>
          <w:szCs w:val="20"/>
          <w:color w:val="auto"/>
        </w:rPr>
      </w:pPr>
    </w:p>
    <w:p>
      <w:pPr>
        <w:ind w:right="320" w:firstLine="319"/>
        <w:spacing w:after="0" w:line="294" w:lineRule="auto"/>
        <w:rPr>
          <w:sz w:val="20"/>
          <w:szCs w:val="20"/>
          <w:color w:val="auto"/>
        </w:rPr>
      </w:pPr>
      <w:r>
        <w:rPr>
          <w:rFonts w:ascii="Arial" w:cs="Arial" w:eastAsia="Arial" w:hAnsi="Arial"/>
          <w:sz w:val="16"/>
          <w:szCs w:val="16"/>
          <w:color w:val="auto"/>
        </w:rPr>
        <w:t>A portion of the Company's sales are made to distributors under agreements allowing certain rights of return and/or price protection related to the final selling price to the end customers. These factors impact the timing and uncertainty of revenues and cash flows. The Company recognized revenue of $17.6 million and $24.3 million during fiscal 2019 and 2018, respectively, from performance obligations that were satisfied in previous reporting periods. The following disaggregates the Company's revenue by sales channel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13"/>
        </w:trPr>
        <w:tc>
          <w:tcPr>
            <w:tcW w:w="25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jc w:val="right"/>
              <w:ind w:right="80"/>
              <w:spacing w:after="0" w:line="113" w:lineRule="exact"/>
              <w:rPr>
                <w:sz w:val="20"/>
                <w:szCs w:val="20"/>
                <w:color w:val="auto"/>
              </w:rPr>
            </w:pPr>
            <w:r>
              <w:rPr>
                <w:rFonts w:ascii="Arial" w:cs="Arial" w:eastAsia="Arial" w:hAnsi="Arial"/>
                <w:sz w:val="13"/>
                <w:szCs w:val="13"/>
                <w:b w:val="1"/>
                <w:bCs w:val="1"/>
                <w:color w:val="auto"/>
                <w:w w:val="96"/>
              </w:rPr>
              <w:t>December 28,</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right"/>
              <w:ind w:right="61"/>
              <w:spacing w:after="0" w:line="113" w:lineRule="exact"/>
              <w:rPr>
                <w:sz w:val="20"/>
                <w:szCs w:val="20"/>
                <w:color w:val="auto"/>
              </w:rPr>
            </w:pPr>
            <w:r>
              <w:rPr>
                <w:rFonts w:ascii="Arial" w:cs="Arial" w:eastAsia="Arial" w:hAnsi="Arial"/>
                <w:sz w:val="13"/>
                <w:szCs w:val="13"/>
                <w:b w:val="1"/>
                <w:bCs w:val="1"/>
                <w:color w:val="auto"/>
                <w:w w:val="99"/>
              </w:rPr>
              <w:t>December 29,</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ind w:right="80"/>
              <w:spacing w:after="0" w:line="113" w:lineRule="exact"/>
              <w:rPr>
                <w:sz w:val="20"/>
                <w:szCs w:val="20"/>
                <w:color w:val="auto"/>
              </w:rPr>
            </w:pPr>
            <w:r>
              <w:rPr>
                <w:rFonts w:ascii="Arial" w:cs="Arial" w:eastAsia="Arial" w:hAnsi="Arial"/>
                <w:sz w:val="13"/>
                <w:szCs w:val="13"/>
                <w:b w:val="1"/>
                <w:bCs w:val="1"/>
                <w:color w:val="auto"/>
                <w:w w:val="99"/>
              </w:rPr>
              <w:t>December 30,</w:t>
            </w:r>
          </w:p>
        </w:tc>
      </w:tr>
      <w:tr>
        <w:trPr>
          <w:trHeight w:val="173"/>
        </w:trPr>
        <w:tc>
          <w:tcPr>
            <w:tcW w:w="252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0"/>
              <w:spacing w:after="0" w:line="173"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20"/>
                <w:szCs w:val="20"/>
                <w:b w:val="1"/>
                <w:bCs w:val="1"/>
                <w:color w:val="auto"/>
                <w:vertAlign w:val="superscript"/>
              </w:rPr>
              <w:t>(1)</w:t>
            </w:r>
          </w:p>
        </w:tc>
      </w:tr>
      <w:tr>
        <w:trPr>
          <w:trHeight w:val="206"/>
        </w:trPr>
        <w:tc>
          <w:tcPr>
            <w:tcW w:w="25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Distributors</w:t>
            </w:r>
          </w:p>
        </w:tc>
        <w:tc>
          <w:tcPr>
            <w:tcW w:w="37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610,410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618,989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547,419</w:t>
            </w:r>
          </w:p>
        </w:tc>
      </w:tr>
      <w:tr>
        <w:trPr>
          <w:trHeight w:val="213"/>
        </w:trPr>
        <w:tc>
          <w:tcPr>
            <w:tcW w:w="2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Direct customers</w:t>
            </w:r>
          </w:p>
        </w:tc>
        <w:tc>
          <w:tcPr>
            <w:tcW w:w="3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227,144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249,278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221,448</w:t>
            </w:r>
          </w:p>
        </w:tc>
      </w:tr>
      <w:tr>
        <w:trPr>
          <w:trHeight w:val="206"/>
        </w:trPr>
        <w:tc>
          <w:tcPr>
            <w:tcW w:w="25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837,554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868,267</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768,867</w:t>
            </w:r>
          </w:p>
        </w:tc>
      </w:tr>
      <w:tr>
        <w:trPr>
          <w:trHeight w:val="20"/>
        </w:trPr>
        <w:tc>
          <w:tcPr>
            <w:tcW w:w="2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6"/>
        </w:trPr>
        <w:tc>
          <w:tcPr>
            <w:tcW w:w="252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(1) Under the modified retrospective method, amounts prior to fiscal 2018 have not been adjusted.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24" w:lineRule="exact"/>
        <w:rPr>
          <w:sz w:val="20"/>
          <w:szCs w:val="20"/>
          <w:color w:val="auto"/>
        </w:rPr>
      </w:pPr>
    </w:p>
    <w:p>
      <w:pPr>
        <w:jc w:val="both"/>
        <w:ind w:right="20" w:firstLine="319"/>
        <w:spacing w:after="0" w:line="272" w:lineRule="auto"/>
        <w:rPr>
          <w:sz w:val="20"/>
          <w:szCs w:val="20"/>
          <w:color w:val="auto"/>
        </w:rPr>
      </w:pPr>
      <w:r>
        <w:rPr>
          <w:rFonts w:ascii="Arial" w:cs="Arial" w:eastAsia="Arial" w:hAnsi="Arial"/>
          <w:sz w:val="17"/>
          <w:szCs w:val="17"/>
          <w:color w:val="auto"/>
        </w:rPr>
        <w:t>In fiscal 2009, the stockholders of the Company approved the 2009 Stock Incentive Plan (the “2009 Plan”) and the 2009 Employee Stock Purchase Plan (the “2009 Purchase Plan”). In fiscal 2017, the stockholders of the Company approved amendments to both the 2009 Plan and the 2009 Purchase Plan. These amendments authorized additional shares of common stock for issuance, to comply with changes in applicable law, improve the Company’s corporate governance and to implement other best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Stock Incentive Plan</w:t>
      </w:r>
    </w:p>
    <w:p>
      <w:pPr>
        <w:spacing w:after="0" w:line="218" w:lineRule="exact"/>
        <w:rPr>
          <w:sz w:val="20"/>
          <w:szCs w:val="20"/>
          <w:color w:val="auto"/>
        </w:rPr>
      </w:pPr>
    </w:p>
    <w:p>
      <w:pPr>
        <w:ind w:right="20" w:firstLine="319"/>
        <w:spacing w:after="0" w:line="286" w:lineRule="auto"/>
        <w:rPr>
          <w:sz w:val="20"/>
          <w:szCs w:val="20"/>
          <w:color w:val="auto"/>
        </w:rPr>
      </w:pPr>
      <w:r>
        <w:rPr>
          <w:rFonts w:ascii="Arial" w:cs="Arial" w:eastAsia="Arial" w:hAnsi="Arial"/>
          <w:sz w:val="16"/>
          <w:szCs w:val="16"/>
          <w:color w:val="auto"/>
        </w:rPr>
        <w:t>Under the 2009 Plan, the following may be granted: stock options, stock appreciation rights, performance shares, performance stock units, restricted stock units (RSUs), restricted stock awards (RSAs), performance-based awards and other awards (collectively, all such grants are referred to as “awards”). The fiscal 2017 amendments to the 2009 Plan created a single share pool. All awards now deduct one share from the 2009 Plan shares available for issuance for each share granted. Awards granted under the 2009 Plan generally contain vesting provisions ranging from three to four years. The exercise price of stock options offered under the 2009 Plan may not be less than 100% of the fair market value of a share of our common stock on the date of grant. To the extent awards granted under the 2009 Plan terminate, expire or lapse for any reason, or are settled in cash, shares subject to such awards will again be available for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Grants and Modifications</w:t>
      </w:r>
    </w:p>
    <w:p>
      <w:pPr>
        <w:spacing w:after="0" w:line="218" w:lineRule="exact"/>
        <w:rPr>
          <w:sz w:val="20"/>
          <w:szCs w:val="20"/>
          <w:color w:val="auto"/>
        </w:rPr>
      </w:pPr>
    </w:p>
    <w:p>
      <w:pPr>
        <w:ind w:right="40" w:firstLine="319"/>
        <w:spacing w:after="0" w:line="266" w:lineRule="auto"/>
        <w:rPr>
          <w:sz w:val="20"/>
          <w:szCs w:val="20"/>
          <w:color w:val="auto"/>
        </w:rPr>
      </w:pPr>
      <w:r>
        <w:rPr>
          <w:rFonts w:ascii="Arial" w:cs="Arial" w:eastAsia="Arial" w:hAnsi="Arial"/>
          <w:sz w:val="18"/>
          <w:szCs w:val="18"/>
          <w:color w:val="auto"/>
        </w:rPr>
        <w:t>The Company granted to its employees 0.7 million, 0.6 million and 0.7 million shares of full value awards and no stock options from the 2009 Plan during fiscal 2019, 2018 and 2017, respectively.</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significant modifications made to any stock grants during fiscal 2019, 2018 or 2017.</w:t>
      </w:r>
    </w:p>
    <w:p>
      <w:pPr>
        <w:spacing w:after="0" w:line="218" w:lineRule="exact"/>
        <w:rPr>
          <w:sz w:val="20"/>
          <w:szCs w:val="20"/>
          <w:color w:val="auto"/>
        </w:rPr>
      </w:pPr>
    </w:p>
    <w:p>
      <w:pPr>
        <w:ind w:right="20" w:firstLine="319"/>
        <w:spacing w:after="0" w:line="290" w:lineRule="auto"/>
        <w:rPr>
          <w:sz w:val="20"/>
          <w:szCs w:val="20"/>
          <w:color w:val="auto"/>
        </w:rPr>
      </w:pPr>
      <w:r>
        <w:rPr>
          <w:rFonts w:ascii="Arial" w:cs="Arial" w:eastAsia="Arial" w:hAnsi="Arial"/>
          <w:sz w:val="16"/>
          <w:szCs w:val="16"/>
          <w:color w:val="auto"/>
        </w:rPr>
        <w:t>Included in the full value awards granted under the 2009 Plan in fiscal 2019, 2018 and 2017 were a total of 93 thousand, 41 thousand and 54 thousand market-based stock awards, respectively. The awards, also known as market stock units (MSUs), provide the rights to acquire a number of shares of common stock for no cash consideration based upon achievement of specified levels of market conditions. The requisite service period for these MSUs is also the vesting period, which is generally three years. The performance criteria of the MSUs measure the difference between the total stockholders’ return of the Company against that of the PHLX Semiconductor Sector Total Return Index.</w:t>
      </w:r>
    </w:p>
    <w:p>
      <w:pPr>
        <w:spacing w:after="0" w:line="164" w:lineRule="exact"/>
        <w:rPr>
          <w:sz w:val="20"/>
          <w:szCs w:val="20"/>
          <w:color w:val="auto"/>
        </w:rPr>
      </w:pPr>
    </w:p>
    <w:p>
      <w:pPr>
        <w:ind w:right="40" w:firstLine="319"/>
        <w:spacing w:after="0" w:line="272" w:lineRule="auto"/>
        <w:rPr>
          <w:sz w:val="20"/>
          <w:szCs w:val="20"/>
          <w:color w:val="auto"/>
        </w:rPr>
      </w:pPr>
      <w:r>
        <w:rPr>
          <w:rFonts w:ascii="Arial" w:cs="Arial" w:eastAsia="Arial" w:hAnsi="Arial"/>
          <w:sz w:val="17"/>
          <w:szCs w:val="17"/>
          <w:color w:val="auto"/>
        </w:rPr>
        <w:t>Also included in the full value awards granted under the 2009 Plan during fiscal 2018 and 2017 were 41 thousand and 54 thousand performance-based stock awards (PSUs), respectively. There were no PSUs granted during fiscal 2019. PSUs provide for the rights to acquire a number of shares of common stock for no cash consideration based upon the achievement of specified revenue objectives during the year. The requisite service period for these PSUs is approximately three years from the date of grant.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(Continued)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Employee Stock Purchase Plan</w:t>
      </w:r>
    </w:p>
    <w:p>
      <w:pPr>
        <w:spacing w:after="0" w:line="218" w:lineRule="exact"/>
        <w:rPr>
          <w:sz w:val="20"/>
          <w:szCs w:val="20"/>
          <w:color w:val="auto"/>
        </w:rPr>
      </w:pPr>
    </w:p>
    <w:p>
      <w:pPr>
        <w:ind w:firstLine="319"/>
        <w:spacing w:after="0" w:line="264" w:lineRule="auto"/>
        <w:rPr>
          <w:sz w:val="20"/>
          <w:szCs w:val="20"/>
          <w:color w:val="auto"/>
        </w:rPr>
      </w:pPr>
      <w:r>
        <w:rPr>
          <w:rFonts w:ascii="Arial" w:cs="Arial" w:eastAsia="Arial" w:hAnsi="Arial"/>
          <w:sz w:val="17"/>
          <w:szCs w:val="17"/>
          <w:color w:val="auto"/>
        </w:rPr>
        <w:t>The rights to purchase common stock granted under the 2009 Purchase Plan are intended to be treated as either (i) purchase rights granted under an “employee stock purchase plan,” as that term is defined in Section 423(b) of the Internal Revenue Code (the “423(b) Plan”), or (ii) purchase rights granted under an employee stock purchase plan that is not subject to the terms and conditions of Section 423(b) of the Internal Revenue Code (the “Non-423(b) Plan”). The Company will retain the discretion to grant purchase rights under either the 423(b) Plan or the Non-423(b) Plan. Eligible employees may purchase a limited number of shares of the Company’s common stock at no less than 85% of the fair market value of a share of common stock at prescribed purchase intervals during an offering period. Each offering period will be comprised of a series of one or more successive and/or overlapping purchase intervals and has a maximum term of 24 months. During fiscal 2019, 2018 and 2017, the Company issued 208 thousand, 223 thousand and 239 thousand shares, respectively, under the 2009 Purchase Plan to its employees. The weighted-average fair value for purchase rights granted in fiscal 2019 under the 2009 Purchase Plan was $29.92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Stock-Based Compensation</w:t>
      </w:r>
    </w:p>
    <w:p>
      <w:pPr>
        <w:spacing w:after="0" w:line="218" w:lineRule="exact"/>
        <w:rPr>
          <w:sz w:val="20"/>
          <w:szCs w:val="20"/>
          <w:color w:val="auto"/>
        </w:rPr>
      </w:pPr>
    </w:p>
    <w:p>
      <w:pPr>
        <w:jc w:val="both"/>
        <w:ind w:right="140" w:firstLine="319"/>
        <w:spacing w:after="0" w:line="272" w:lineRule="auto"/>
        <w:rPr>
          <w:sz w:val="20"/>
          <w:szCs w:val="20"/>
          <w:color w:val="auto"/>
        </w:rPr>
      </w:pPr>
      <w:r>
        <w:rPr>
          <w:rFonts w:ascii="Arial" w:cs="Arial" w:eastAsia="Arial" w:hAnsi="Arial"/>
          <w:sz w:val="17"/>
          <w:szCs w:val="17"/>
          <w:color w:val="auto"/>
        </w:rPr>
        <w:t>Stock-based compensation costs are based on the fair values on the date of grant for stock awards and stock options and on the date of enrollment for the employee stock purchase plans. The fair values of stock awards (such as RSUs, PSUs and RSAs) are estimated based on their intrinsic values. The fair values of MSUs are estimated using a Monte Carlo simulation. The fair values of stock options and employee stock purchase plans are estimated using the Black-Scholes option-pricing model.</w:t>
      </w:r>
    </w:p>
    <w:p>
      <w:pPr>
        <w:spacing w:after="0" w:line="177" w:lineRule="exact"/>
        <w:rPr>
          <w:sz w:val="20"/>
          <w:szCs w:val="20"/>
          <w:color w:val="auto"/>
        </w:rPr>
      </w:pPr>
    </w:p>
    <w:p>
      <w:pPr>
        <w:ind w:firstLine="319"/>
        <w:spacing w:after="0" w:line="290" w:lineRule="auto"/>
        <w:rPr>
          <w:sz w:val="20"/>
          <w:szCs w:val="20"/>
          <w:color w:val="auto"/>
        </w:rPr>
      </w:pPr>
      <w:r>
        <w:rPr>
          <w:rFonts w:ascii="Arial" w:cs="Arial" w:eastAsia="Arial" w:hAnsi="Arial"/>
          <w:sz w:val="16"/>
          <w:szCs w:val="16"/>
          <w:color w:val="auto"/>
        </w:rPr>
        <w:t>The Black-Scholes valuation calculation requires the Company to estimate key assumptions such as future stock price volatility, expected terms, risk-free rates and dividend yield. Expected stock price volatility is based upon a combination of both historical volatility and implied volatility derived from traded options on the Company’s stock in the marketplace. Expected term is derived from an analysis of historical exercises and remaining contractual life of options. The risk-free rate is based on the U.S. Treasury yield curve in effect at the time of grant. The Company has never paid cash dividends and does not currently intend to pay cash dividends, thus it has assumed a 0% dividend yield.</w:t>
      </w:r>
    </w:p>
    <w:p>
      <w:pPr>
        <w:spacing w:after="0" w:line="164" w:lineRule="exact"/>
        <w:rPr>
          <w:sz w:val="20"/>
          <w:szCs w:val="20"/>
          <w:color w:val="auto"/>
        </w:rPr>
      </w:pPr>
    </w:p>
    <w:p>
      <w:pPr>
        <w:jc w:val="both"/>
        <w:ind w:right="60" w:firstLine="319"/>
        <w:spacing w:after="0" w:line="253" w:lineRule="auto"/>
        <w:rPr>
          <w:sz w:val="20"/>
          <w:szCs w:val="20"/>
          <w:color w:val="auto"/>
        </w:rPr>
      </w:pPr>
      <w:r>
        <w:rPr>
          <w:rFonts w:ascii="Arial" w:cs="Arial" w:eastAsia="Arial" w:hAnsi="Arial"/>
          <w:sz w:val="18"/>
          <w:szCs w:val="18"/>
          <w:color w:val="auto"/>
        </w:rPr>
        <w:t>The Monte Carlo simulation used to calculate the fair value of the MSUs simulates the present value of the potential outcomes of future stock prices of the Company and the Philadelphia Semiconductor Sector Total Return Index over the requisite service period. The projection of stock prices are based on the risk-free rate of return, the volatilities of the stock price of the Company and the Index, and the correlation of the stock price of the Company with the Index.</w:t>
      </w:r>
    </w:p>
    <w:p>
      <w:pPr>
        <w:spacing w:after="0" w:line="190" w:lineRule="exact"/>
        <w:rPr>
          <w:sz w:val="20"/>
          <w:szCs w:val="20"/>
          <w:color w:val="auto"/>
        </w:rPr>
      </w:pPr>
    </w:p>
    <w:p>
      <w:pPr>
        <w:ind w:right="280" w:firstLine="319"/>
        <w:spacing w:after="0" w:line="272" w:lineRule="auto"/>
        <w:rPr>
          <w:sz w:val="20"/>
          <w:szCs w:val="20"/>
          <w:color w:val="auto"/>
        </w:rPr>
      </w:pPr>
      <w:r>
        <w:rPr>
          <w:rFonts w:ascii="Arial" w:cs="Arial" w:eastAsia="Arial" w:hAnsi="Arial"/>
          <w:sz w:val="17"/>
          <w:szCs w:val="17"/>
          <w:color w:val="auto"/>
        </w:rPr>
        <w:t>The Company estimates potential forfeitures of stock grants and adjusts compensation cost recorded accordingly. The estimate of forfeitures will be adjusted over the requisite service period to the extent that actual forfeitures differ, or are expected to differ, from such estimates. Changes in estimated forfeitures are recognized through a cumulative catch-up adjustment in the period of change and will also impact the amount of stock-based compensation expense to be recognized in future periods.</w:t>
      </w:r>
    </w:p>
    <w:p>
      <w:pPr>
        <w:spacing w:after="0" w:line="177" w:lineRule="exact"/>
        <w:rPr>
          <w:sz w:val="20"/>
          <w:szCs w:val="20"/>
          <w:color w:val="auto"/>
        </w:rPr>
      </w:pPr>
    </w:p>
    <w:p>
      <w:pPr>
        <w:ind w:firstLine="319"/>
        <w:spacing w:after="0" w:line="268" w:lineRule="auto"/>
        <w:rPr>
          <w:sz w:val="20"/>
          <w:szCs w:val="20"/>
          <w:color w:val="auto"/>
        </w:rPr>
      </w:pPr>
      <w:r>
        <w:rPr>
          <w:rFonts w:ascii="Arial" w:cs="Arial" w:eastAsia="Arial" w:hAnsi="Arial"/>
          <w:sz w:val="17"/>
          <w:szCs w:val="17"/>
          <w:color w:val="auto"/>
        </w:rPr>
        <w:t>The fair values of stock options and RSUs are amortized as compensation expense on a straight-line basis over the vesting period of the grants. The fair values of RSAs are fully expensed in the period of grant, when shares are immediately issued with no vesting restrictions. The fair values of MSUs are amortized as compensation expense on a straight-line basis over the performance and service periods of the grants. The fair values of PSUs are amortized as compensation expense on a straight-line basis over the performance period when the performance is probable of achievement, and over the remaining service periods thereafter. Compensation expense recognized is shown in the operating activities section of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0"/>
          </w:cols>
          <w:pgMar w:left="920" w:top="513" w:right="9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(Continued)</w:t>
      </w:r>
    </w:p>
    <w:p>
      <w:pPr>
        <w:spacing w:after="0" w:line="224" w:lineRule="exact"/>
        <w:rPr>
          <w:sz w:val="20"/>
          <w:szCs w:val="20"/>
          <w:color w:val="auto"/>
        </w:rPr>
      </w:pPr>
    </w:p>
    <w:p>
      <w:pPr>
        <w:ind w:right="880" w:firstLine="319"/>
        <w:spacing w:after="0" w:line="266" w:lineRule="auto"/>
        <w:rPr>
          <w:sz w:val="20"/>
          <w:szCs w:val="20"/>
          <w:color w:val="auto"/>
        </w:rPr>
      </w:pPr>
      <w:r>
        <w:rPr>
          <w:rFonts w:ascii="Arial" w:cs="Arial" w:eastAsia="Arial" w:hAnsi="Arial"/>
          <w:sz w:val="18"/>
          <w:szCs w:val="18"/>
          <w:color w:val="auto"/>
        </w:rPr>
        <w:t>The fair values estimated from the Black-Scholes option-pricing model for ESPP granted were calculated using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91"/>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Employee Stock Purchase Plan</w:t>
            </w:r>
          </w:p>
        </w:tc>
        <w:tc>
          <w:tcPr>
            <w:tcW w:w="1260" w:type="dxa"/>
            <w:vAlign w:val="bottom"/>
            <w:gridSpan w:val="2"/>
          </w:tcPr>
          <w:p>
            <w:pPr>
              <w:jc w:val="right"/>
              <w:ind w:right="271"/>
              <w:spacing w:after="0" w:line="117" w:lineRule="exact"/>
              <w:rPr>
                <w:sz w:val="20"/>
                <w:szCs w:val="20"/>
                <w:color w:val="auto"/>
              </w:rPr>
            </w:pPr>
            <w:r>
              <w:rPr>
                <w:rFonts w:ascii="Arial" w:cs="Arial" w:eastAsia="Arial" w:hAnsi="Arial"/>
                <w:sz w:val="13"/>
                <w:szCs w:val="13"/>
                <w:b w:val="1"/>
                <w:bCs w:val="1"/>
                <w:color w:val="auto"/>
              </w:rPr>
              <w:t>December 28,</w:t>
            </w:r>
          </w:p>
        </w:tc>
        <w:tc>
          <w:tcPr>
            <w:tcW w:w="1240" w:type="dxa"/>
            <w:vAlign w:val="bottom"/>
            <w:gridSpan w:val="2"/>
          </w:tcPr>
          <w:p>
            <w:pPr>
              <w:jc w:val="center"/>
              <w:ind w:right="171"/>
              <w:spacing w:after="0" w:line="117" w:lineRule="exact"/>
              <w:rPr>
                <w:sz w:val="20"/>
                <w:szCs w:val="20"/>
                <w:color w:val="auto"/>
              </w:rPr>
            </w:pPr>
            <w:r>
              <w:rPr>
                <w:rFonts w:ascii="Arial" w:cs="Arial" w:eastAsia="Arial" w:hAnsi="Arial"/>
                <w:sz w:val="13"/>
                <w:szCs w:val="13"/>
                <w:b w:val="1"/>
                <w:bCs w:val="1"/>
                <w:color w:val="auto"/>
                <w:w w:val="96"/>
              </w:rPr>
              <w:t>December 29,</w:t>
            </w:r>
          </w:p>
        </w:tc>
        <w:tc>
          <w:tcPr>
            <w:tcW w:w="1000" w:type="dxa"/>
            <w:vAlign w:val="bottom"/>
          </w:tcPr>
          <w:p>
            <w:pPr>
              <w:jc w:val="right"/>
              <w:ind w:right="18"/>
              <w:spacing w:after="0" w:line="117" w:lineRule="exact"/>
              <w:rPr>
                <w:sz w:val="20"/>
                <w:szCs w:val="20"/>
                <w:color w:val="auto"/>
              </w:rPr>
            </w:pPr>
            <w:r>
              <w:rPr>
                <w:rFonts w:ascii="Arial" w:cs="Arial" w:eastAsia="Arial" w:hAnsi="Arial"/>
                <w:sz w:val="13"/>
                <w:szCs w:val="13"/>
                <w:b w:val="1"/>
                <w:bCs w:val="1"/>
                <w:color w:val="auto"/>
              </w:rPr>
              <w:t>December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6420" w:type="dxa"/>
            <w:vAlign w:val="bottom"/>
            <w:gridSpan w:val="2"/>
            <w:vMerge w:val="continue"/>
          </w:tcPr>
          <w:p>
            <w:pPr>
              <w:spacing w:after="0"/>
              <w:rPr>
                <w:sz w:val="14"/>
                <w:szCs w:val="14"/>
                <w:color w:val="auto"/>
              </w:rPr>
            </w:pPr>
          </w:p>
        </w:tc>
        <w:tc>
          <w:tcPr>
            <w:tcW w:w="1000" w:type="dxa"/>
            <w:vAlign w:val="bottom"/>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1000" w:type="dxa"/>
            <w:vAlign w:val="bottom"/>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1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Expected volatility</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37</w:t>
            </w:r>
          </w:p>
        </w:tc>
        <w:tc>
          <w:tcPr>
            <w:tcW w:w="260" w:type="dxa"/>
            <w:vAlign w:val="bottom"/>
            <w:tcBorders>
              <w:top w:val="single" w:sz="8" w:color="CCEEFF"/>
            </w:tcBorders>
            <w:shd w:val="clear" w:color="auto" w:fill="CCEEFF"/>
          </w:tcPr>
          <w:p>
            <w:pPr>
              <w:jc w:val="right"/>
              <w:ind w:right="31"/>
              <w:spacing w:after="0" w:line="205" w:lineRule="exact"/>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30</w:t>
            </w:r>
          </w:p>
        </w:tc>
        <w:tc>
          <w:tcPr>
            <w:tcW w:w="260" w:type="dxa"/>
            <w:vAlign w:val="bottom"/>
            <w:tcBorders>
              <w:top w:val="single" w:sz="8" w:color="CCEEFF"/>
            </w:tcBorders>
            <w:shd w:val="clear" w:color="auto" w:fill="CCEEFF"/>
          </w:tcPr>
          <w:p>
            <w:pPr>
              <w:jc w:val="right"/>
              <w:ind w:right="31"/>
              <w:spacing w:after="0" w:line="205"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3"/>
        </w:trPr>
        <w:tc>
          <w:tcPr>
            <w:tcW w:w="6420" w:type="dxa"/>
            <w:vAlign w:val="bottom"/>
            <w:gridSpan w:val="2"/>
          </w:tcPr>
          <w:p>
            <w:pPr>
              <w:spacing w:after="0"/>
              <w:rPr>
                <w:sz w:val="20"/>
                <w:szCs w:val="20"/>
                <w:color w:val="auto"/>
              </w:rPr>
            </w:pPr>
            <w:r>
              <w:rPr>
                <w:rFonts w:ascii="Arial" w:cs="Arial" w:eastAsia="Arial" w:hAnsi="Arial"/>
                <w:sz w:val="18"/>
                <w:szCs w:val="18"/>
                <w:color w:val="auto"/>
              </w:rPr>
              <w:t>Risk-free interest rate %</w:t>
            </w:r>
          </w:p>
        </w:tc>
        <w:tc>
          <w:tcPr>
            <w:tcW w:w="1260" w:type="dxa"/>
            <w:vAlign w:val="bottom"/>
            <w:gridSpan w:val="2"/>
          </w:tcPr>
          <w:p>
            <w:pPr>
              <w:jc w:val="right"/>
              <w:ind w:right="31"/>
              <w:spacing w:after="0"/>
              <w:rPr>
                <w:sz w:val="20"/>
                <w:szCs w:val="20"/>
                <w:color w:val="auto"/>
              </w:rPr>
            </w:pPr>
            <w:r>
              <w:rPr>
                <w:rFonts w:ascii="Arial" w:cs="Arial" w:eastAsia="Arial" w:hAnsi="Arial"/>
                <w:sz w:val="18"/>
                <w:szCs w:val="18"/>
                <w:color w:val="auto"/>
              </w:rPr>
              <w:t>1.6 %</w:t>
            </w: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2.4 %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3"/>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months)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26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3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values estimated from Monte Carlo simulation for MSUs were calculated using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MSUs</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7"/>
          </w:tcPr>
          <w:p>
            <w:pPr>
              <w:jc w:val="right"/>
              <w:ind w:right="340"/>
              <w:spacing w:after="0" w:line="117" w:lineRule="exact"/>
              <w:rPr>
                <w:sz w:val="20"/>
                <w:szCs w:val="20"/>
                <w:color w:val="auto"/>
              </w:rPr>
            </w:pPr>
            <w:r>
              <w:rPr>
                <w:rFonts w:ascii="Arial" w:cs="Arial" w:eastAsia="Arial" w:hAnsi="Arial"/>
                <w:sz w:val="13"/>
                <w:szCs w:val="13"/>
                <w:b w:val="1"/>
                <w:bCs w:val="1"/>
                <w:color w:val="auto"/>
              </w:rPr>
              <w:t>December 28,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jc w:val="center"/>
              <w:ind w:right="30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1000" w:type="dxa"/>
            <w:vAlign w:val="bottom"/>
            <w:gridSpan w:val="4"/>
          </w:tcPr>
          <w:p>
            <w:pPr>
              <w:jc w:val="right"/>
              <w:ind w:right="21"/>
              <w:spacing w:after="0" w:line="117" w:lineRule="exact"/>
              <w:rPr>
                <w:sz w:val="20"/>
                <w:szCs w:val="20"/>
                <w:color w:val="auto"/>
              </w:rPr>
            </w:pPr>
            <w:r>
              <w:rPr>
                <w:rFonts w:ascii="Arial" w:cs="Arial" w:eastAsia="Arial" w:hAnsi="Arial"/>
                <w:sz w:val="13"/>
                <w:szCs w:val="13"/>
                <w:b w:val="1"/>
                <w:bCs w:val="1"/>
                <w:color w:val="auto"/>
              </w:rPr>
              <w:t>December 30,</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Expected volatility</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31</w:t>
            </w:r>
          </w:p>
        </w:tc>
        <w:tc>
          <w:tcPr>
            <w:tcW w:w="240" w:type="dxa"/>
            <w:vAlign w:val="bottom"/>
            <w:gridSpan w:val="3"/>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74"/>
              </w:rPr>
              <w:t>%</w:t>
            </w:r>
          </w:p>
        </w:tc>
        <w:tc>
          <w:tcPr>
            <w:tcW w:w="98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jc w:val="right"/>
              <w:ind w:right="11"/>
              <w:spacing w:after="0" w:line="205" w:lineRule="exact"/>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right"/>
              <w:ind w:right="11"/>
              <w:spacing w:after="0"/>
              <w:rPr>
                <w:sz w:val="20"/>
                <w:szCs w:val="20"/>
                <w:color w:val="auto"/>
              </w:rPr>
            </w:pPr>
            <w:r>
              <w:rPr>
                <w:rFonts w:ascii="Arial" w:cs="Arial" w:eastAsia="Arial" w:hAnsi="Arial"/>
                <w:sz w:val="18"/>
                <w:szCs w:val="18"/>
                <w:color w:val="auto"/>
              </w:rPr>
              <w:t>2.4 %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Dividend yield</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6440" w:type="dxa"/>
            <w:vAlign w:val="bottom"/>
            <w:gridSpan w:val="9"/>
          </w:tcPr>
          <w:p>
            <w:pPr>
              <w:ind w:left="320"/>
              <w:spacing w:after="0"/>
              <w:rPr>
                <w:sz w:val="20"/>
                <w:szCs w:val="20"/>
                <w:color w:val="auto"/>
              </w:rPr>
            </w:pPr>
            <w:r>
              <w:rPr>
                <w:rFonts w:ascii="Arial" w:cs="Arial" w:eastAsia="Arial" w:hAnsi="Arial"/>
                <w:sz w:val="18"/>
                <w:szCs w:val="18"/>
                <w:color w:val="auto"/>
                <w:w w:val="91"/>
              </w:rPr>
              <w:t>A summary of stock-based compensation activity with respect to fiscal 2019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1"/>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00"/>
              <w:spacing w:after="0" w:line="146"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1"/>
              <w:spacing w:after="0" w:line="146"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00"/>
              <w:spacing w:after="0" w:line="146" w:lineRule="exact"/>
              <w:rPr>
                <w:sz w:val="20"/>
                <w:szCs w:val="20"/>
                <w:color w:val="auto"/>
              </w:rPr>
            </w:pPr>
            <w:r>
              <w:rPr>
                <w:rFonts w:ascii="Arial" w:cs="Arial" w:eastAsia="Arial" w:hAnsi="Arial"/>
                <w:sz w:val="14"/>
                <w:szCs w:val="14"/>
                <w:b w:val="1"/>
                <w:bCs w:val="1"/>
                <w:color w:val="auto"/>
                <w:w w:val="86"/>
              </w:rPr>
              <w:t>Exercise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40"/>
              <w:spacing w:after="0" w:line="146" w:lineRule="exact"/>
              <w:rPr>
                <w:sz w:val="20"/>
                <w:szCs w:val="20"/>
                <w:color w:val="auto"/>
              </w:rPr>
            </w:pPr>
            <w:r>
              <w:rPr>
                <w:rFonts w:ascii="Arial" w:cs="Arial" w:eastAsia="Arial" w:hAnsi="Arial"/>
                <w:sz w:val="14"/>
                <w:szCs w:val="14"/>
                <w:b w:val="1"/>
                <w:bCs w:val="1"/>
                <w:color w:val="auto"/>
                <w:w w:val="93"/>
              </w:rPr>
              <w:t>Contractual Term</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1"/>
              <w:spacing w:after="0" w:line="146"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88"/>
              </w:rPr>
              <w:t>(000s)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29, 2018</w:t>
            </w: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137</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39.47</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Outstanding at December 28, 2019</w:t>
            </w:r>
          </w:p>
        </w:tc>
        <w:tc>
          <w:tcPr>
            <w:tcW w:w="1920" w:type="dxa"/>
            <w:vAlign w:val="bottom"/>
            <w:gridSpan w:val="6"/>
          </w:tcPr>
          <w:p>
            <w:pPr>
              <w:jc w:val="right"/>
              <w:ind w:right="4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28, 2019 and expected to vest</w:t>
            </w:r>
          </w:p>
        </w:tc>
        <w:tc>
          <w:tcPr>
            <w:tcW w:w="19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rPr>
              <w:t>Exercisable at December 28, 2019</w:t>
            </w:r>
          </w:p>
        </w:tc>
        <w:tc>
          <w:tcPr>
            <w:tcW w:w="1920" w:type="dxa"/>
            <w:vAlign w:val="bottom"/>
            <w:gridSpan w:val="6"/>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11"/>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00"/>
              <w:spacing w:after="0" w:line="146"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1"/>
              <w:spacing w:after="0" w:line="146"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RSAs and RSUs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20"/>
              <w:spacing w:after="0" w:line="146" w:lineRule="exact"/>
              <w:rPr>
                <w:sz w:val="20"/>
                <w:szCs w:val="20"/>
                <w:color w:val="auto"/>
              </w:rPr>
            </w:pPr>
            <w:r>
              <w:rPr>
                <w:rFonts w:ascii="Arial" w:cs="Arial" w:eastAsia="Arial" w:hAnsi="Arial"/>
                <w:sz w:val="14"/>
                <w:szCs w:val="14"/>
                <w:b w:val="1"/>
                <w:bCs w:val="1"/>
                <w:color w:val="auto"/>
                <w:w w:val="88"/>
              </w:rPr>
              <w:t>Purchase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40"/>
              <w:spacing w:after="0" w:line="146" w:lineRule="exact"/>
              <w:rPr>
                <w:sz w:val="20"/>
                <w:szCs w:val="20"/>
                <w:color w:val="auto"/>
              </w:rPr>
            </w:pPr>
            <w:r>
              <w:rPr>
                <w:rFonts w:ascii="Arial" w:cs="Arial" w:eastAsia="Arial" w:hAnsi="Arial"/>
                <w:sz w:val="14"/>
                <w:szCs w:val="14"/>
                <w:b w:val="1"/>
                <w:bCs w:val="1"/>
                <w:color w:val="auto"/>
                <w:w w:val="90"/>
              </w:rPr>
              <w:t>Vesting Term</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1"/>
              <w:spacing w:after="0" w:line="146"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88"/>
              </w:rPr>
              <w:t>(000s)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29, 2018</w:t>
            </w: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1,218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3"/>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6"/>
          </w:tcPr>
          <w:p>
            <w:pPr>
              <w:jc w:val="right"/>
              <w:ind w:right="40"/>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Vested or issued</w:t>
            </w:r>
          </w:p>
        </w:tc>
        <w:tc>
          <w:tcPr>
            <w:tcW w:w="19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940" w:type="dxa"/>
            <w:vAlign w:val="bottom"/>
            <w:gridSpan w:val="7"/>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December 28, 2019</w:t>
            </w: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1,084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gridSpan w:val="3"/>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0.95</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126,259</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w w:val="97"/>
              </w:rPr>
              <w:t>Outstanding at December 28, 2019 and expected to vest</w:t>
            </w:r>
          </w:p>
        </w:tc>
        <w:tc>
          <w:tcPr>
            <w:tcW w:w="1920" w:type="dxa"/>
            <w:vAlign w:val="bottom"/>
            <w:gridSpan w:val="6"/>
          </w:tcPr>
          <w:p>
            <w:pPr>
              <w:jc w:val="right"/>
              <w:ind w:right="4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19"/>
                <w:szCs w:val="19"/>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4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Weighted-Average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line="146"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60"/>
              <w:spacing w:after="0" w:line="146"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1"/>
              <w:spacing w:after="0" w:line="146"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PSUs and MSUs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20"/>
              <w:spacing w:after="0" w:line="146" w:lineRule="exact"/>
              <w:rPr>
                <w:sz w:val="20"/>
                <w:szCs w:val="20"/>
                <w:color w:val="auto"/>
              </w:rPr>
            </w:pPr>
            <w:r>
              <w:rPr>
                <w:rFonts w:ascii="Arial" w:cs="Arial" w:eastAsia="Arial" w:hAnsi="Arial"/>
                <w:sz w:val="14"/>
                <w:szCs w:val="14"/>
                <w:b w:val="1"/>
                <w:bCs w:val="1"/>
                <w:color w:val="auto"/>
                <w:w w:val="88"/>
              </w:rPr>
              <w:t>Purchase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60"/>
              <w:spacing w:after="0" w:line="146" w:lineRule="exact"/>
              <w:rPr>
                <w:sz w:val="20"/>
                <w:szCs w:val="20"/>
                <w:color w:val="auto"/>
              </w:rPr>
            </w:pPr>
            <w:r>
              <w:rPr>
                <w:rFonts w:ascii="Arial" w:cs="Arial" w:eastAsia="Arial" w:hAnsi="Arial"/>
                <w:sz w:val="14"/>
                <w:szCs w:val="14"/>
                <w:b w:val="1"/>
                <w:bCs w:val="1"/>
                <w:color w:val="auto"/>
                <w:w w:val="92"/>
              </w:rPr>
              <w:t>Vesting Term</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51"/>
              <w:spacing w:after="0" w:line="146"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(000s)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 Years)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w w:val="88"/>
              </w:rPr>
              <w:t>(000s)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2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Outstanding at December 29, 2018</w:t>
            </w: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282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6"/>
          </w:tcPr>
          <w:p>
            <w:pPr>
              <w:jc w:val="right"/>
              <w:ind w:right="6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Earned or issued</w:t>
            </w:r>
          </w:p>
        </w:tc>
        <w:tc>
          <w:tcPr>
            <w:tcW w:w="1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920" w:type="dxa"/>
            <w:vAlign w:val="bottom"/>
            <w:gridSpan w:val="6"/>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December 28, 2019</w:t>
            </w:r>
          </w:p>
        </w:tc>
        <w:tc>
          <w:tcPr>
            <w:tcW w:w="8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262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1.04</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30,583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20" w:type="dxa"/>
            <w:vAlign w:val="bottom"/>
          </w:tcPr>
          <w:p>
            <w:pPr>
              <w:spacing w:after="0"/>
              <w:rPr>
                <w:sz w:val="20"/>
                <w:szCs w:val="20"/>
                <w:color w:val="auto"/>
              </w:rPr>
            </w:pPr>
            <w:r>
              <w:rPr>
                <w:rFonts w:ascii="Arial" w:cs="Arial" w:eastAsia="Arial" w:hAnsi="Arial"/>
                <w:sz w:val="18"/>
                <w:szCs w:val="18"/>
                <w:color w:val="auto"/>
                <w:w w:val="97"/>
              </w:rPr>
              <w:t>Outstanding at December 28, 2019 and expected to vest</w:t>
            </w:r>
          </w:p>
        </w:tc>
        <w:tc>
          <w:tcPr>
            <w:tcW w:w="1920" w:type="dxa"/>
            <w:vAlign w:val="bottom"/>
            <w:gridSpan w:val="6"/>
          </w:tcPr>
          <w:p>
            <w:pPr>
              <w:jc w:val="right"/>
              <w:ind w:right="6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2"/>
        </w:trPr>
        <w:tc>
          <w:tcPr>
            <w:tcW w:w="4420" w:type="dxa"/>
            <w:vAlign w:val="bottom"/>
          </w:tcPr>
          <w:p>
            <w:pPr>
              <w:spacing w:after="0"/>
              <w:rPr>
                <w:sz w:val="24"/>
                <w:szCs w:val="24"/>
                <w:color w:val="auto"/>
              </w:rPr>
            </w:pPr>
          </w:p>
        </w:tc>
        <w:tc>
          <w:tcPr>
            <w:tcW w:w="2020" w:type="dxa"/>
            <w:vAlign w:val="bottom"/>
            <w:gridSpan w:val="8"/>
          </w:tcPr>
          <w:p>
            <w:pPr>
              <w:ind w:left="44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4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513" w:right="8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(Continued)</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Company’s weighted average fair value at the date of grant: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17"/>
        </w:trPr>
        <w:tc>
          <w:tcPr>
            <w:tcW w:w="4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62"/>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43"/>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82"/>
              <w:spacing w:after="0" w:line="117" w:lineRule="exact"/>
              <w:rPr>
                <w:sz w:val="20"/>
                <w:szCs w:val="20"/>
                <w:color w:val="auto"/>
              </w:rPr>
            </w:pPr>
            <w:r>
              <w:rPr>
                <w:rFonts w:ascii="Arial" w:cs="Arial" w:eastAsia="Arial" w:hAnsi="Arial"/>
                <w:sz w:val="13"/>
                <w:szCs w:val="13"/>
                <w:b w:val="1"/>
                <w:bCs w:val="1"/>
                <w:color w:val="auto"/>
                <w:w w:val="99"/>
              </w:rPr>
              <w:t>December 30,</w:t>
            </w:r>
          </w:p>
        </w:tc>
      </w:tr>
      <w:tr>
        <w:trPr>
          <w:trHeight w:val="169"/>
        </w:trPr>
        <w:tc>
          <w:tcPr>
            <w:tcW w:w="414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r>
      <w:tr>
        <w:trPr>
          <w:trHeight w:val="206"/>
        </w:trPr>
        <w:tc>
          <w:tcPr>
            <w:tcW w:w="41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Per grant of RSAs and RSUs</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89.35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93.75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72.85</w:t>
            </w: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Per grant of PSUs and MSUs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85.79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78.40</w:t>
            </w: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Company’s stock-based payment and stock option values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17"/>
        </w:trPr>
        <w:tc>
          <w:tcPr>
            <w:tcW w:w="4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7"/>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9"/>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7"/>
              <w:spacing w:after="0" w:line="117" w:lineRule="exact"/>
              <w:rPr>
                <w:sz w:val="20"/>
                <w:szCs w:val="20"/>
                <w:color w:val="auto"/>
              </w:rPr>
            </w:pPr>
            <w:r>
              <w:rPr>
                <w:rFonts w:ascii="Arial" w:cs="Arial" w:eastAsia="Arial" w:hAnsi="Arial"/>
                <w:sz w:val="13"/>
                <w:szCs w:val="13"/>
                <w:b w:val="1"/>
                <w:bCs w:val="1"/>
                <w:color w:val="auto"/>
                <w:w w:val="99"/>
              </w:rPr>
              <w:t>December 30,</w:t>
            </w:r>
          </w:p>
        </w:tc>
      </w:tr>
      <w:tr>
        <w:trPr>
          <w:trHeight w:val="169"/>
        </w:trPr>
        <w:tc>
          <w:tcPr>
            <w:tcW w:w="496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r>
      <w:tr>
        <w:trPr>
          <w:trHeight w:val="206"/>
        </w:trPr>
        <w:tc>
          <w:tcPr>
            <w:tcW w:w="49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Intrinsic value of stock options exercised</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1,952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2,174</w:t>
            </w: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Intrinsic value of RSUs that vested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57,693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53,093</w:t>
            </w: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Grant date fair value of RSUs that vested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w:t>
            </w:r>
          </w:p>
        </w:tc>
      </w:tr>
      <w:tr>
        <w:trPr>
          <w:trHeight w:val="213"/>
        </w:trPr>
        <w:tc>
          <w:tcPr>
            <w:tcW w:w="4960" w:type="dxa"/>
            <w:vAlign w:val="bottom"/>
          </w:tcPr>
          <w:p>
            <w:pPr>
              <w:spacing w:after="0"/>
              <w:rPr>
                <w:sz w:val="20"/>
                <w:szCs w:val="20"/>
                <w:color w:val="auto"/>
              </w:rPr>
            </w:pPr>
            <w:r>
              <w:rPr>
                <w:rFonts w:ascii="Arial" w:cs="Arial" w:eastAsia="Arial" w:hAnsi="Arial"/>
                <w:sz w:val="18"/>
                <w:szCs w:val="18"/>
                <w:color w:val="auto"/>
              </w:rPr>
              <w:t>Intrinsic value of MSUs that vested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1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Grant date fair value of PSUs and MSUs that vested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bl>
    <w:p>
      <w:pPr>
        <w:spacing w:after="0" w:line="200" w:lineRule="exact"/>
        <w:rPr>
          <w:sz w:val="20"/>
          <w:szCs w:val="20"/>
          <w:color w:val="auto"/>
        </w:rPr>
      </w:pPr>
    </w:p>
    <w:p>
      <w:pPr>
        <w:ind w:right="60" w:firstLine="319"/>
        <w:spacing w:after="0" w:line="253" w:lineRule="auto"/>
        <w:rPr>
          <w:sz w:val="20"/>
          <w:szCs w:val="20"/>
          <w:color w:val="auto"/>
        </w:rPr>
      </w:pPr>
      <w:r>
        <w:rPr>
          <w:rFonts w:ascii="Arial" w:cs="Arial" w:eastAsia="Arial" w:hAnsi="Arial"/>
          <w:sz w:val="18"/>
          <w:szCs w:val="18"/>
          <w:color w:val="auto"/>
        </w:rPr>
        <w:t>The Company received cash of $14.5 million for the issuance of common stock, and paid $16.3 million for shares withheld for taxes, during fiscal 2019. The Company issues shares from the shares reserved under its stock plans upon the exercise of stock options, vesting of RSUs, PSUs and MSUs, and purchases through employee stock purchase plans. The Company does not currently expect to repurchase shares from any source to satisfy such obligation.</w:t>
      </w:r>
    </w:p>
    <w:p>
      <w:pPr>
        <w:spacing w:after="0" w:line="190" w:lineRule="exact"/>
        <w:rPr>
          <w:sz w:val="20"/>
          <w:szCs w:val="20"/>
          <w:color w:val="auto"/>
        </w:rPr>
      </w:pPr>
    </w:p>
    <w:p>
      <w:pPr>
        <w:ind w:right="660" w:firstLine="319"/>
        <w:spacing w:after="0" w:line="266" w:lineRule="auto"/>
        <w:rPr>
          <w:sz w:val="20"/>
          <w:szCs w:val="20"/>
          <w:color w:val="auto"/>
        </w:rPr>
      </w:pPr>
      <w:r>
        <w:rPr>
          <w:rFonts w:ascii="Arial" w:cs="Arial" w:eastAsia="Arial" w:hAnsi="Arial"/>
          <w:sz w:val="18"/>
          <w:szCs w:val="18"/>
          <w:color w:val="auto"/>
        </w:rPr>
        <w:t>The following table presents details of stock-based compensation costs recognized in the Consolidated Statements of Income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17"/>
        </w:trPr>
        <w:tc>
          <w:tcPr>
            <w:tcW w:w="43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6"/>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6"/>
              <w:spacing w:after="0" w:line="117" w:lineRule="exact"/>
              <w:rPr>
                <w:sz w:val="20"/>
                <w:szCs w:val="20"/>
                <w:color w:val="auto"/>
              </w:rPr>
            </w:pPr>
            <w:r>
              <w:rPr>
                <w:rFonts w:ascii="Arial" w:cs="Arial" w:eastAsia="Arial" w:hAnsi="Arial"/>
                <w:sz w:val="13"/>
                <w:szCs w:val="13"/>
                <w:b w:val="1"/>
                <w:bCs w:val="1"/>
                <w:color w:val="auto"/>
                <w:w w:val="99"/>
              </w:rPr>
              <w:t>December 30,</w:t>
            </w:r>
          </w:p>
        </w:tc>
      </w:tr>
      <w:tr>
        <w:trPr>
          <w:trHeight w:val="169"/>
        </w:trPr>
        <w:tc>
          <w:tcPr>
            <w:tcW w:w="434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r>
      <w:tr>
        <w:trPr>
          <w:trHeight w:val="206"/>
        </w:trPr>
        <w:tc>
          <w:tcPr>
            <w:tcW w:w="43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Cost of revenues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1,316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1,238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1,090</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21,771</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r>
      <w:tr>
        <w:trPr>
          <w:trHeight w:val="206"/>
        </w:trPr>
        <w:tc>
          <w:tcPr>
            <w:tcW w:w="4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54,799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Arial" w:cs="Arial" w:eastAsia="Arial" w:hAnsi="Arial"/>
                <w:sz w:val="18"/>
                <w:szCs w:val="18"/>
                <w:color w:val="auto"/>
              </w:rPr>
              <w:t>50,077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6" w:lineRule="exact"/>
              <w:rPr>
                <w:sz w:val="20"/>
                <w:szCs w:val="20"/>
                <w:color w:val="auto"/>
              </w:rPr>
            </w:pPr>
            <w:r>
              <w:rPr>
                <w:rFonts w:ascii="Arial" w:cs="Arial" w:eastAsia="Arial" w:hAnsi="Arial"/>
                <w:sz w:val="18"/>
                <w:szCs w:val="18"/>
                <w:color w:val="auto"/>
              </w:rPr>
              <w:t>44,752</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11,073</w:t>
            </w:r>
          </w:p>
        </w:tc>
      </w:tr>
      <w:tr>
        <w:trPr>
          <w:trHeight w:val="206"/>
        </w:trPr>
        <w:tc>
          <w:tcPr>
            <w:tcW w:w="4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52,323</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41,187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33,679</w:t>
            </w:r>
          </w:p>
        </w:tc>
      </w:tr>
      <w:tr>
        <w:trPr>
          <w:trHeight w:val="20"/>
        </w:trPr>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 w:firstLine="319"/>
        <w:spacing w:after="0" w:line="249" w:lineRule="auto"/>
        <w:rPr>
          <w:sz w:val="20"/>
          <w:szCs w:val="20"/>
          <w:color w:val="auto"/>
        </w:rPr>
      </w:pPr>
      <w:r>
        <w:rPr>
          <w:rFonts w:ascii="Arial" w:cs="Arial" w:eastAsia="Arial" w:hAnsi="Arial"/>
          <w:sz w:val="18"/>
          <w:szCs w:val="18"/>
          <w:color w:val="auto"/>
        </w:rPr>
        <w:t xml:space="preserve">The decrease in income tax benefit in fiscal 2019 was primarily due to a change in the Company’s position related to the treatment of stock-based compensation within its intercompany cost-sharing arrangement. The decrease in income tax benefit in fiscal 2018 was due to the reduced current and future deductibility of executive stock compensation as a result of the Tax Cuts and Jobs Act. See Note 17, </w:t>
      </w:r>
      <w:r>
        <w:rPr>
          <w:rFonts w:ascii="Arial" w:cs="Arial" w:eastAsia="Arial" w:hAnsi="Arial"/>
          <w:sz w:val="18"/>
          <w:szCs w:val="18"/>
          <w:i w:val="1"/>
          <w:iCs w:val="1"/>
          <w:color w:val="auto"/>
        </w:rPr>
        <w:t>Income Taxes</w:t>
      </w:r>
      <w:r>
        <w:rPr>
          <w:rFonts w:ascii="Arial" w:cs="Arial" w:eastAsia="Arial" w:hAnsi="Arial"/>
          <w:sz w:val="18"/>
          <w:szCs w:val="18"/>
          <w:color w:val="auto"/>
        </w:rPr>
        <w:t>, to the Consolidated Financial Statements for additional information. The Company had approximately $59.6 million of total unrecognized compensation costs related to granted stock options and awards as of December 28, 2019 that are expected to be recognized over a weighted-average period of approximately 2.0 years. There were no significant stock-based compensation costs capitalized into assets in any of the periods presented.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28, 2019, the Company had reserved shares of common stock for future issuance as follows (in thousands):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2009</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Incentive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13"/>
        </w:trPr>
        <w:tc>
          <w:tcPr>
            <w:tcW w:w="20" w:type="dxa"/>
            <w:vAlign w:val="bottom"/>
          </w:tcPr>
          <w:p>
            <w:pPr>
              <w:spacing w:after="0"/>
              <w:rPr>
                <w:sz w:val="18"/>
                <w:szCs w:val="18"/>
                <w:color w:val="auto"/>
              </w:rPr>
            </w:pPr>
          </w:p>
        </w:tc>
        <w:tc>
          <w:tcPr>
            <w:tcW w:w="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84"/>
              </w:rPr>
              <w:t>2009</w:t>
            </w:r>
          </w:p>
        </w:tc>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r>
      <w:tr>
        <w:trPr>
          <w:trHeight w:val="206"/>
        </w:trPr>
        <w:tc>
          <w:tcPr>
            <w:tcW w:w="20" w:type="dxa"/>
            <w:vAlign w:val="bottom"/>
          </w:tcPr>
          <w:p>
            <w:pPr>
              <w:spacing w:after="0"/>
              <w:rPr>
                <w:sz w:val="17"/>
                <w:szCs w:val="17"/>
                <w:color w:val="auto"/>
              </w:rPr>
            </w:pPr>
          </w:p>
        </w:tc>
        <w:tc>
          <w:tcPr>
            <w:tcW w:w="6960" w:type="dxa"/>
            <w:vAlign w:val="bottom"/>
            <w:tcBorders>
              <w:bottom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Total shares reserved</w:t>
            </w:r>
          </w:p>
        </w:tc>
        <w:tc>
          <w:tcPr>
            <w:tcW w:w="10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2,592</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920" w:top="513" w:right="89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w:t>
      </w:r>
    </w:p>
    <w:p>
      <w:pPr>
        <w:spacing w:after="0" w:line="224" w:lineRule="exact"/>
        <w:rPr>
          <w:sz w:val="20"/>
          <w:szCs w:val="20"/>
          <w:color w:val="auto"/>
        </w:rPr>
      </w:pPr>
    </w:p>
    <w:p>
      <w:pPr>
        <w:ind w:right="80" w:firstLine="319"/>
        <w:spacing w:after="0" w:line="294" w:lineRule="auto"/>
        <w:rPr>
          <w:sz w:val="20"/>
          <w:szCs w:val="20"/>
          <w:color w:val="auto"/>
        </w:rPr>
      </w:pPr>
      <w:r>
        <w:rPr>
          <w:rFonts w:ascii="Arial" w:cs="Arial" w:eastAsia="Arial" w:hAnsi="Arial"/>
          <w:sz w:val="16"/>
          <w:szCs w:val="16"/>
          <w:color w:val="auto"/>
        </w:rPr>
        <w:t>The Company maintains a defined contribution or 401(k) Plan for its qualified U.S. employees. Participants may contribute a percentage of their compensation on a pre-tax basis, subject to a maximum annual contribution imposed by the Internal Revenue Code. The Company may make discretionary matching contributions as well as discretionary profit-sharing contributions to the 401(k) Plan. The Company contributed $3.9 million, $3.7 million and $3.5 million to the 401(k) Plan during fiscal 2019, 2018 and 2017,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before income taxes includes the following components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7"/>
              <w:spacing w:after="0" w:line="117" w:lineRule="exact"/>
              <w:rPr>
                <w:sz w:val="20"/>
                <w:szCs w:val="20"/>
                <w:color w:val="auto"/>
              </w:rPr>
            </w:pPr>
            <w:r>
              <w:rPr>
                <w:rFonts w:ascii="Arial" w:cs="Arial" w:eastAsia="Arial" w:hAnsi="Arial"/>
                <w:sz w:val="13"/>
                <w:szCs w:val="13"/>
                <w:b w:val="1"/>
                <w:bCs w:val="1"/>
                <w:color w:val="auto"/>
                <w:w w:val="96"/>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7"/>
              <w:spacing w:after="0" w:line="117" w:lineRule="exact"/>
              <w:rPr>
                <w:sz w:val="20"/>
                <w:szCs w:val="20"/>
                <w:color w:val="auto"/>
              </w:rPr>
            </w:pPr>
            <w:r>
              <w:rPr>
                <w:rFonts w:ascii="Arial" w:cs="Arial" w:eastAsia="Arial" w:hAnsi="Arial"/>
                <w:sz w:val="13"/>
                <w:szCs w:val="13"/>
                <w:b w:val="1"/>
                <w:bCs w:val="1"/>
                <w:color w:val="auto"/>
                <w:w w:val="96"/>
              </w:rPr>
              <w:t>December 30,</w:t>
            </w:r>
          </w:p>
        </w:tc>
        <w:tc>
          <w:tcPr>
            <w:tcW w:w="0" w:type="dxa"/>
            <w:vAlign w:val="bottom"/>
          </w:tcPr>
          <w:p>
            <w:pPr>
              <w:spacing w:after="0"/>
              <w:rPr>
                <w:sz w:val="1"/>
                <w:szCs w:val="1"/>
                <w:color w:val="auto"/>
              </w:rPr>
            </w:pPr>
          </w:p>
        </w:tc>
      </w:tr>
      <w:tr>
        <w:trPr>
          <w:trHeight w:val="169"/>
        </w:trPr>
        <w:tc>
          <w:tcPr>
            <w:tcW w:w="6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06"/>
        </w:trPr>
        <w:tc>
          <w:tcPr>
            <w:tcW w:w="6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19,777</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3"/>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52,384</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67,203</w:t>
            </w:r>
          </w:p>
        </w:tc>
        <w:tc>
          <w:tcPr>
            <w:tcW w:w="0" w:type="dxa"/>
            <w:vAlign w:val="bottom"/>
          </w:tcPr>
          <w:p>
            <w:pPr>
              <w:spacing w:after="0"/>
              <w:rPr>
                <w:sz w:val="1"/>
                <w:szCs w:val="1"/>
                <w:color w:val="auto"/>
              </w:rPr>
            </w:pPr>
          </w:p>
        </w:tc>
      </w:tr>
      <w:tr>
        <w:trPr>
          <w:trHeight w:val="206"/>
        </w:trPr>
        <w:tc>
          <w:tcPr>
            <w:tcW w:w="6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49,649</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72,161</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76,903</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320"/>
              <w:spacing w:after="0"/>
              <w:rPr>
                <w:sz w:val="20"/>
                <w:szCs w:val="20"/>
                <w:color w:val="auto"/>
              </w:rPr>
            </w:pPr>
            <w:r>
              <w:rPr>
                <w:rFonts w:ascii="Arial" w:cs="Arial" w:eastAsia="Arial" w:hAnsi="Arial"/>
                <w:sz w:val="18"/>
                <w:szCs w:val="18"/>
                <w:color w:val="auto"/>
                <w:w w:val="91"/>
              </w:rPr>
              <w:t>The provision (benefit) for income taxes consists of the following (in thousands):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6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7"/>
              <w:spacing w:after="0" w:line="117" w:lineRule="exact"/>
              <w:rPr>
                <w:sz w:val="20"/>
                <w:szCs w:val="20"/>
                <w:color w:val="auto"/>
              </w:rPr>
            </w:pPr>
            <w:r>
              <w:rPr>
                <w:rFonts w:ascii="Arial" w:cs="Arial" w:eastAsia="Arial" w:hAnsi="Arial"/>
                <w:sz w:val="13"/>
                <w:szCs w:val="13"/>
                <w:b w:val="1"/>
                <w:bCs w:val="1"/>
                <w:color w:val="auto"/>
                <w:w w:val="96"/>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7"/>
              <w:spacing w:after="0" w:line="117" w:lineRule="exact"/>
              <w:rPr>
                <w:sz w:val="20"/>
                <w:szCs w:val="20"/>
                <w:color w:val="auto"/>
              </w:rPr>
            </w:pPr>
            <w:r>
              <w:rPr>
                <w:rFonts w:ascii="Arial" w:cs="Arial" w:eastAsia="Arial" w:hAnsi="Arial"/>
                <w:sz w:val="13"/>
                <w:szCs w:val="13"/>
                <w:b w:val="1"/>
                <w:bCs w:val="1"/>
                <w:color w:val="auto"/>
                <w:w w:val="96"/>
              </w:rPr>
              <w:t>December 30,</w:t>
            </w:r>
          </w:p>
        </w:tc>
        <w:tc>
          <w:tcPr>
            <w:tcW w:w="0" w:type="dxa"/>
            <w:vAlign w:val="bottom"/>
          </w:tcPr>
          <w:p>
            <w:pPr>
              <w:spacing w:after="0"/>
              <w:rPr>
                <w:sz w:val="1"/>
                <w:szCs w:val="1"/>
                <w:color w:val="auto"/>
              </w:rPr>
            </w:pPr>
          </w:p>
        </w:tc>
      </w:tr>
      <w:tr>
        <w:trPr>
          <w:trHeight w:val="169"/>
        </w:trPr>
        <w:tc>
          <w:tcPr>
            <w:tcW w:w="6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06"/>
        </w:trPr>
        <w:tc>
          <w:tcPr>
            <w:tcW w:w="6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Arial" w:cs="Arial" w:eastAsia="Arial" w:hAnsi="Arial"/>
                <w:sz w:val="18"/>
                <w:szCs w:val="18"/>
                <w:color w:val="auto"/>
              </w:rPr>
              <w:t>Domestic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48,947</w:t>
            </w: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206"/>
        </w:trPr>
        <w:tc>
          <w:tcPr>
            <w:tcW w:w="6160" w:type="dxa"/>
            <w:vAlign w:val="bottom"/>
          </w:tcPr>
          <w:p>
            <w:pPr>
              <w:ind w:left="220"/>
              <w:spacing w:after="0" w:line="205" w:lineRule="exact"/>
              <w:rPr>
                <w:sz w:val="20"/>
                <w:szCs w:val="20"/>
                <w:color w:val="auto"/>
              </w:rPr>
            </w:pPr>
            <w:r>
              <w:rPr>
                <w:rFonts w:ascii="Arial" w:cs="Arial" w:eastAsia="Arial" w:hAnsi="Arial"/>
                <w:sz w:val="18"/>
                <w:szCs w:val="18"/>
                <w:color w:val="auto"/>
              </w:rPr>
              <w:t>Total Current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7,378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(2,955)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6" w:lineRule="exact"/>
              <w:rPr>
                <w:sz w:val="20"/>
                <w:szCs w:val="20"/>
                <w:color w:val="auto"/>
              </w:rPr>
            </w:pPr>
            <w:r>
              <w:rPr>
                <w:rFonts w:ascii="Arial" w:cs="Arial" w:eastAsia="Arial" w:hAnsi="Arial"/>
                <w:sz w:val="18"/>
                <w:szCs w:val="18"/>
                <w:color w:val="auto"/>
              </w:rPr>
              <w:t>56,024</w:t>
            </w: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220"/>
              <w:spacing w:after="0"/>
              <w:rPr>
                <w:sz w:val="20"/>
                <w:szCs w:val="20"/>
                <w:color w:val="auto"/>
              </w:rPr>
            </w:pPr>
            <w:r>
              <w:rPr>
                <w:rFonts w:ascii="Arial" w:cs="Arial" w:eastAsia="Arial" w:hAnsi="Arial"/>
                <w:sz w:val="18"/>
                <w:szCs w:val="18"/>
                <w:color w:val="auto"/>
              </w:rPr>
              <w:t>Domestic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(8,978)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6"/>
        </w:trPr>
        <w:tc>
          <w:tcPr>
            <w:tcW w:w="6160" w:type="dxa"/>
            <w:vAlign w:val="bottom"/>
            <w:tcBorders>
              <w:bottom w:val="single" w:sz="8" w:color="CCEEFF"/>
            </w:tcBorders>
          </w:tcPr>
          <w:p>
            <w:pPr>
              <w:ind w:left="220"/>
              <w:spacing w:after="0" w:line="205" w:lineRule="exact"/>
              <w:rPr>
                <w:sz w:val="20"/>
                <w:szCs w:val="20"/>
                <w:color w:val="auto"/>
              </w:rPr>
            </w:pPr>
            <w:r>
              <w:rPr>
                <w:rFonts w:ascii="Arial" w:cs="Arial" w:eastAsia="Arial" w:hAnsi="Arial"/>
                <w:sz w:val="18"/>
                <w:szCs w:val="18"/>
                <w:color w:val="auto"/>
              </w:rPr>
              <w:t>Total Deferred</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23,006</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6" w:lineRule="exact"/>
              <w:rPr>
                <w:sz w:val="20"/>
                <w:szCs w:val="20"/>
                <w:color w:val="auto"/>
              </w:rPr>
            </w:pPr>
            <w:r>
              <w:rPr>
                <w:rFonts w:ascii="Arial" w:cs="Arial" w:eastAsia="Arial" w:hAnsi="Arial"/>
                <w:sz w:val="18"/>
                <w:szCs w:val="18"/>
                <w:color w:val="auto"/>
              </w:rPr>
              <w:t>(8,475)</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(26,213)</w:t>
            </w:r>
          </w:p>
        </w:tc>
        <w:tc>
          <w:tcPr>
            <w:tcW w:w="0" w:type="dxa"/>
            <w:vAlign w:val="bottom"/>
          </w:tcPr>
          <w:p>
            <w:pPr>
              <w:spacing w:after="0"/>
              <w:rPr>
                <w:sz w:val="1"/>
                <w:szCs w:val="1"/>
                <w:color w:val="auto"/>
              </w:rPr>
            </w:pPr>
          </w:p>
        </w:tc>
      </w:tr>
      <w:tr>
        <w:trPr>
          <w:trHeight w:val="206"/>
        </w:trPr>
        <w:tc>
          <w:tcPr>
            <w:tcW w:w="616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Provision (benefit) for income taxes</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30,384</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(11,430)</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29,811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38810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federal statutory tax rate to the Company’s effective tax rate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51"/>
              <w:spacing w:after="0"/>
              <w:rPr>
                <w:sz w:val="20"/>
                <w:szCs w:val="20"/>
                <w:color w:val="auto"/>
              </w:rPr>
            </w:pPr>
            <w:r>
              <w:rPr>
                <w:rFonts w:ascii="Arial" w:cs="Arial" w:eastAsia="Arial" w:hAnsi="Arial"/>
                <w:sz w:val="14"/>
                <w:szCs w:val="14"/>
                <w:b w:val="1"/>
                <w:bCs w:val="1"/>
                <w:color w:val="auto"/>
                <w:w w:val="90"/>
              </w:rPr>
              <w:t>Year Ended</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7"/>
        </w:trPr>
        <w:tc>
          <w:tcPr>
            <w:tcW w:w="6440" w:type="dxa"/>
            <w:vAlign w:val="bottom"/>
          </w:tcPr>
          <w:p>
            <w:pPr>
              <w:spacing w:after="0"/>
              <w:rPr>
                <w:sz w:val="10"/>
                <w:szCs w:val="10"/>
                <w:color w:val="auto"/>
              </w:rPr>
            </w:pPr>
          </w:p>
        </w:tc>
        <w:tc>
          <w:tcPr>
            <w:tcW w:w="1240" w:type="dxa"/>
            <w:vAlign w:val="bottom"/>
            <w:gridSpan w:val="2"/>
          </w:tcPr>
          <w:p>
            <w:pPr>
              <w:jc w:val="right"/>
              <w:ind w:right="251"/>
              <w:spacing w:after="0" w:line="117" w:lineRule="exact"/>
              <w:rPr>
                <w:sz w:val="20"/>
                <w:szCs w:val="20"/>
                <w:color w:val="auto"/>
              </w:rPr>
            </w:pPr>
            <w:r>
              <w:rPr>
                <w:rFonts w:ascii="Arial" w:cs="Arial" w:eastAsia="Arial" w:hAnsi="Arial"/>
                <w:sz w:val="13"/>
                <w:szCs w:val="13"/>
                <w:b w:val="1"/>
                <w:bCs w:val="1"/>
                <w:color w:val="auto"/>
              </w:rPr>
              <w:t>December 28,</w:t>
            </w:r>
          </w:p>
        </w:tc>
        <w:tc>
          <w:tcPr>
            <w:tcW w:w="1220" w:type="dxa"/>
            <w:vAlign w:val="bottom"/>
            <w:gridSpan w:val="2"/>
          </w:tcPr>
          <w:p>
            <w:pPr>
              <w:jc w:val="center"/>
              <w:ind w:right="151"/>
              <w:spacing w:after="0" w:line="117" w:lineRule="exact"/>
              <w:rPr>
                <w:sz w:val="20"/>
                <w:szCs w:val="20"/>
                <w:color w:val="auto"/>
              </w:rPr>
            </w:pPr>
            <w:r>
              <w:rPr>
                <w:rFonts w:ascii="Arial" w:cs="Arial" w:eastAsia="Arial" w:hAnsi="Arial"/>
                <w:sz w:val="13"/>
                <w:szCs w:val="13"/>
                <w:b w:val="1"/>
                <w:bCs w:val="1"/>
                <w:color w:val="auto"/>
                <w:w w:val="96"/>
              </w:rPr>
              <w:t>December 29,</w:t>
            </w:r>
          </w:p>
        </w:tc>
        <w:tc>
          <w:tcPr>
            <w:tcW w:w="1020" w:type="dxa"/>
            <w:vAlign w:val="bottom"/>
          </w:tcPr>
          <w:p>
            <w:pPr>
              <w:jc w:val="right"/>
              <w:ind w:right="14"/>
              <w:spacing w:after="0" w:line="117" w:lineRule="exact"/>
              <w:rPr>
                <w:sz w:val="20"/>
                <w:szCs w:val="20"/>
                <w:color w:val="auto"/>
              </w:rPr>
            </w:pPr>
            <w:r>
              <w:rPr>
                <w:rFonts w:ascii="Arial" w:cs="Arial" w:eastAsia="Arial" w:hAnsi="Arial"/>
                <w:sz w:val="13"/>
                <w:szCs w:val="13"/>
                <w:b w:val="1"/>
                <w:bCs w:val="1"/>
                <w:color w:val="auto"/>
              </w:rPr>
              <w:t>December 30,</w:t>
            </w:r>
          </w:p>
        </w:tc>
        <w:tc>
          <w:tcPr>
            <w:tcW w:w="160" w:type="dxa"/>
            <w:vAlign w:val="bottom"/>
          </w:tcPr>
          <w:p>
            <w:pPr>
              <w:spacing w:after="0"/>
              <w:rPr>
                <w:sz w:val="10"/>
                <w:szCs w:val="10"/>
                <w:color w:val="auto"/>
              </w:rPr>
            </w:pPr>
          </w:p>
        </w:tc>
      </w:tr>
      <w:tr>
        <w:trPr>
          <w:trHeight w:val="169"/>
        </w:trPr>
        <w:tc>
          <w:tcPr>
            <w:tcW w:w="64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r>
      <w:tr>
        <w:trPr>
          <w:trHeight w:val="206"/>
        </w:trPr>
        <w:tc>
          <w:tcPr>
            <w:tcW w:w="64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Federal statutory rate</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1"/>
              <w:spacing w:after="0" w:line="205" w:lineRule="exact"/>
              <w:rPr>
                <w:sz w:val="20"/>
                <w:szCs w:val="20"/>
                <w:color w:val="auto"/>
              </w:rPr>
            </w:pPr>
            <w:r>
              <w:rPr>
                <w:rFonts w:ascii="Arial" w:cs="Arial" w:eastAsia="Arial" w:hAnsi="Arial"/>
                <w:sz w:val="18"/>
                <w:szCs w:val="18"/>
                <w:color w:val="auto"/>
                <w:w w:val="74"/>
              </w:rPr>
              <w:t>%</w:t>
            </w:r>
          </w:p>
        </w:tc>
        <w:tc>
          <w:tcPr>
            <w:tcW w:w="9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1"/>
              <w:spacing w:after="0" w:line="205" w:lineRule="exact"/>
              <w:rPr>
                <w:sz w:val="20"/>
                <w:szCs w:val="20"/>
                <w:color w:val="auto"/>
              </w:rPr>
            </w:pPr>
            <w:r>
              <w:rPr>
                <w:rFonts w:ascii="Arial" w:cs="Arial" w:eastAsia="Arial" w:hAnsi="Arial"/>
                <w:sz w:val="18"/>
                <w:szCs w:val="18"/>
                <w:color w:val="auto"/>
                <w:w w:val="74"/>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4"/>
              </w:rPr>
              <w:t>%</w:t>
            </w: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Foreign tax rate benefit</w:t>
            </w: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GILTI and Subpart F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(nontaxable) foreign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State tax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Release of prior year unrecognized tax benefits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Nondeductible officer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tax effects of equity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Change in cost-sharing treatment of 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of stock-based compensation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Change in prior period valuation allowance</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Transition tax on unremitted foreign earnings</w:t>
            </w:r>
          </w:p>
        </w:tc>
        <w:tc>
          <w:tcPr>
            <w:tcW w:w="124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8"/>
                <w:szCs w:val="18"/>
                <w:color w:val="auto"/>
              </w:rPr>
            </w:pPr>
          </w:p>
        </w:tc>
      </w:tr>
      <w:tr>
        <w:trPr>
          <w:trHeight w:val="213"/>
        </w:trPr>
        <w:tc>
          <w:tcPr>
            <w:tcW w:w="6440" w:type="dxa"/>
            <w:vAlign w:val="bottom"/>
          </w:tcPr>
          <w:p>
            <w:pPr>
              <w:spacing w:after="0"/>
              <w:rPr>
                <w:sz w:val="20"/>
                <w:szCs w:val="20"/>
                <w:color w:val="auto"/>
              </w:rPr>
            </w:pPr>
            <w:r>
              <w:rPr>
                <w:rFonts w:ascii="Arial" w:cs="Arial" w:eastAsia="Arial" w:hAnsi="Arial"/>
                <w:sz w:val="18"/>
                <w:szCs w:val="18"/>
                <w:color w:val="auto"/>
              </w:rPr>
              <w:t>Revaluation of deferred tax balances</w:t>
            </w:r>
          </w:p>
        </w:tc>
        <w:tc>
          <w:tcPr>
            <w:tcW w:w="1240" w:type="dxa"/>
            <w:vAlign w:val="bottom"/>
            <w:gridSpan w:val="2"/>
          </w:tcPr>
          <w:p>
            <w:pPr>
              <w:jc w:val="right"/>
              <w:ind w:right="2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r>
      <w:tr>
        <w:trPr>
          <w:trHeight w:val="213"/>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deferred tax impacts of tax reform</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CEEFF"/>
          </w:tcPr>
          <w:p>
            <w:pPr>
              <w:spacing w:after="0"/>
              <w:rPr>
                <w:sz w:val="18"/>
                <w:szCs w:val="18"/>
                <w:color w:val="auto"/>
              </w:rPr>
            </w:pPr>
          </w:p>
        </w:tc>
      </w:tr>
      <w:tr>
        <w:trPr>
          <w:trHeight w:val="213"/>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r>
      <w:tr>
        <w:trPr>
          <w:trHeight w:val="206"/>
        </w:trPr>
        <w:tc>
          <w:tcPr>
            <w:tcW w:w="644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Effective Tax Rate</w:t>
            </w:r>
          </w:p>
        </w:tc>
        <w:tc>
          <w:tcPr>
            <w:tcW w:w="10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61.2</w:t>
            </w:r>
          </w:p>
        </w:tc>
        <w:tc>
          <w:tcPr>
            <w:tcW w:w="240" w:type="dxa"/>
            <w:vAlign w:val="bottom"/>
            <w:tcBorders>
              <w:bottom w:val="single" w:sz="8" w:color="CCEEFF"/>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w w:val="74"/>
              </w:rPr>
              <w:t>%</w:t>
            </w:r>
          </w:p>
        </w:tc>
        <w:tc>
          <w:tcPr>
            <w:tcW w:w="9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(15.8)</w:t>
            </w:r>
          </w:p>
        </w:tc>
        <w:tc>
          <w:tcPr>
            <w:tcW w:w="240" w:type="dxa"/>
            <w:vAlign w:val="bottom"/>
            <w:tcBorders>
              <w:bottom w:val="single" w:sz="8" w:color="CCEEFF"/>
            </w:tcBorders>
            <w:shd w:val="clear" w:color="auto" w:fill="CCEEFF"/>
          </w:tcPr>
          <w:p>
            <w:pPr>
              <w:jc w:val="right"/>
              <w:ind w:right="11"/>
              <w:spacing w:after="0" w:line="206" w:lineRule="exact"/>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38.8</w:t>
            </w:r>
          </w:p>
        </w:tc>
        <w:tc>
          <w:tcPr>
            <w:tcW w:w="160" w:type="dxa"/>
            <w:vAlign w:val="bottom"/>
            <w:tcBorders>
              <w:bottom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4"/>
              </w:rPr>
              <w:t>%</w:t>
            </w:r>
          </w:p>
        </w:tc>
      </w:tr>
      <w:tr>
        <w:trPr>
          <w:trHeight w:val="20"/>
        </w:trPr>
        <w:tc>
          <w:tcPr>
            <w:tcW w:w="6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20" w:firstLine="319"/>
        <w:spacing w:after="0" w:line="266" w:lineRule="auto"/>
        <w:rPr>
          <w:sz w:val="20"/>
          <w:szCs w:val="20"/>
          <w:color w:val="auto"/>
        </w:rPr>
      </w:pPr>
      <w:r>
        <w:rPr>
          <w:rFonts w:ascii="Arial" w:cs="Arial" w:eastAsia="Arial" w:hAnsi="Arial"/>
          <w:sz w:val="18"/>
          <w:szCs w:val="18"/>
          <w:color w:val="auto"/>
        </w:rPr>
        <w:t>The effective tax rate for fiscal 2019 increased from fiscal 2018 primarily due to a change in the Company's financial statement position related to the treatment of stock-based compensation within its intercompany cost-sharing arrangement.</w:t>
      </w:r>
    </w:p>
    <w:p>
      <w:pPr>
        <w:spacing w:after="0" w:line="179" w:lineRule="exact"/>
        <w:rPr>
          <w:sz w:val="20"/>
          <w:szCs w:val="20"/>
          <w:color w:val="auto"/>
        </w:rPr>
      </w:pPr>
    </w:p>
    <w:p>
      <w:pPr>
        <w:ind w:right="20" w:firstLine="319"/>
        <w:spacing w:after="0" w:line="256" w:lineRule="auto"/>
        <w:rPr>
          <w:sz w:val="20"/>
          <w:szCs w:val="20"/>
          <w:color w:val="auto"/>
        </w:rPr>
      </w:pPr>
      <w:r>
        <w:rPr>
          <w:rFonts w:ascii="Arial" w:cs="Arial" w:eastAsia="Arial" w:hAnsi="Arial"/>
          <w:sz w:val="18"/>
          <w:szCs w:val="18"/>
          <w:color w:val="auto"/>
        </w:rPr>
        <w:t>The effective tax rate for fiscal 2018 decreased from fiscal 2017 primarily due to the reduction in the U.S. federal statutory rate as well as the inclusion of one-time tax impacts recorded in 2017 from the enactment of the Tax Cuts and Jobs Act ("the Act"). This decrease in the effective tax rate was offset by a decrease in the Company’s foreign tax rate benefit.</w:t>
      </w:r>
    </w:p>
    <w:p>
      <w:pPr>
        <w:spacing w:after="0" w:line="188" w:lineRule="exact"/>
        <w:rPr>
          <w:sz w:val="20"/>
          <w:szCs w:val="20"/>
          <w:color w:val="auto"/>
        </w:rPr>
      </w:pPr>
    </w:p>
    <w:p>
      <w:pPr>
        <w:ind w:right="140" w:firstLine="319"/>
        <w:spacing w:after="0" w:line="265" w:lineRule="auto"/>
        <w:rPr>
          <w:sz w:val="20"/>
          <w:szCs w:val="20"/>
          <w:color w:val="auto"/>
        </w:rPr>
      </w:pPr>
      <w:r>
        <w:rPr>
          <w:rFonts w:ascii="Arial" w:cs="Arial" w:eastAsia="Arial" w:hAnsi="Arial"/>
          <w:sz w:val="17"/>
          <w:szCs w:val="17"/>
          <w:color w:val="auto"/>
        </w:rPr>
        <w:t>On July 27, 2015, the U.S. Tax Court issued an opinion in Altera Corp. v. Commissioner which concluded that related parties in an intercompany cost-sharing arrangement are not required to share costs related to stock-based compensation. In February 2016, the U.S. Internal Revenue Service appealed the decision to the U.S Court of Appeals for the Ninth Circuit (the “Ninth Circuit”). On June 7, 2019, the Ninth Circuit reversed the 2015 decision of the U.S. Tax Court. As a result of this decision, the Company no longer reflects a tax benefit related to the removal of stock-based compensation from its intercompany cost-sharing arrangement within its financial statements. During the three months ended June 29, 2019, the Company removed the deferred tax assets and a deferred tax liability associated with this matter from its financial statements. This removal resulted in a full year discrete income tax expense of $27.2 million. On November 12, 2019, the Ninth Circuit denied a petition for rehearing the case en banc. The Company will continue to monitor ongoing developments in this matter and potential impacts to its financial statements.</w:t>
      </w:r>
    </w:p>
    <w:p>
      <w:pPr>
        <w:spacing w:after="0" w:line="184" w:lineRule="exact"/>
        <w:rPr>
          <w:sz w:val="20"/>
          <w:szCs w:val="20"/>
          <w:color w:val="auto"/>
        </w:rPr>
      </w:pPr>
    </w:p>
    <w:p>
      <w:pPr>
        <w:ind w:right="160" w:firstLine="319"/>
        <w:spacing w:after="0" w:line="272" w:lineRule="auto"/>
        <w:rPr>
          <w:sz w:val="20"/>
          <w:szCs w:val="20"/>
          <w:color w:val="auto"/>
        </w:rPr>
      </w:pPr>
      <w:r>
        <w:rPr>
          <w:rFonts w:ascii="Arial" w:cs="Arial" w:eastAsia="Arial" w:hAnsi="Arial"/>
          <w:sz w:val="17"/>
          <w:szCs w:val="17"/>
          <w:color w:val="auto"/>
        </w:rPr>
        <w:t>The Company’s operations in Singapore are subject to reduced tax rates through June 30, 2024, as long as certain conditions are met. Without the impact of a one-time transition tax, the income tax benefit from the reduced Singapore tax rate reflected in earnings was approximately $1.5 million (representing $0.03 per diluted share) in fiscal 2019, $5.4 million (representing $0.12 per diluted share) in fiscal 2018 and approximately $11.0 million (representing $0.25 per diluted share) in fiscal 2017.</w:t>
      </w:r>
    </w:p>
    <w:p>
      <w:pPr>
        <w:spacing w:after="0" w:line="177" w:lineRule="exact"/>
        <w:rPr>
          <w:sz w:val="20"/>
          <w:szCs w:val="20"/>
          <w:color w:val="auto"/>
        </w:rPr>
      </w:pPr>
    </w:p>
    <w:p>
      <w:pPr>
        <w:ind w:right="160" w:firstLine="319"/>
        <w:spacing w:after="0" w:line="253" w:lineRule="auto"/>
        <w:rPr>
          <w:sz w:val="20"/>
          <w:szCs w:val="20"/>
          <w:color w:val="auto"/>
        </w:rPr>
      </w:pPr>
      <w:r>
        <w:rPr>
          <w:rFonts w:ascii="Arial" w:cs="Arial" w:eastAsia="Arial" w:hAnsi="Arial"/>
          <w:sz w:val="18"/>
          <w:szCs w:val="18"/>
          <w:color w:val="auto"/>
        </w:rPr>
        <w:t>The Act was enacted in the U.S. on December 22, 2017 and required companies to pay a one-time transition tax on earnings of certain foreign subsidiaries that were previously deferred from U.S income tax under U.S. tax law. The Company elected to pay the transition tax over the eight-year period provided in the Act. As of December 28, 2019, the unpaid balance of its transition tax obligation is $21.3 million, which is payable between April 2022 and April 2025.</w:t>
      </w:r>
    </w:p>
    <w:p>
      <w:pPr>
        <w:sectPr>
          <w:pgSz w:w="11900" w:h="16838" w:orient="portrait"/>
          <w:cols w:equalWidth="0" w:num="1">
            <w:col w:w="10080"/>
          </w:cols>
          <w:pgMar w:left="920" w:top="51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3" w:right="899" w:bottom="1440" w:gutter="0" w:footer="0" w:header="0"/>
          <w:type w:val="continuous"/>
        </w:sectPr>
      </w:pPr>
    </w:p>
    <w:bookmarkStart w:id="78" w:name="page79"/>
    <w:bookmarkEnd w:id="78"/>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ind w:right="-22"/>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ind w:right="-22"/>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ind w:right="-22"/>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ind w:left="3" w:right="7800" w:hanging="3"/>
        <w:spacing w:after="0" w:line="638" w:lineRule="auto"/>
        <w:tabs>
          <w:tab w:leader="none" w:pos="268"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 (Continued) Deferred Income Taxes</w:t>
      </w:r>
    </w:p>
    <w:p>
      <w:pPr>
        <w:spacing w:after="0" w:line="1" w:lineRule="exact"/>
        <w:rPr>
          <w:sz w:val="20"/>
          <w:szCs w:val="20"/>
          <w:color w:val="auto"/>
        </w:rPr>
      </w:pPr>
    </w:p>
    <w:p>
      <w:pPr>
        <w:ind w:left="3" w:firstLine="319"/>
        <w:spacing w:after="0" w:line="256" w:lineRule="auto"/>
        <w:rPr>
          <w:sz w:val="20"/>
          <w:szCs w:val="20"/>
          <w:color w:val="auto"/>
        </w:rPr>
      </w:pPr>
      <w:r>
        <w:rPr>
          <w:rFonts w:ascii="Arial" w:cs="Arial" w:eastAsia="Arial" w:hAnsi="Arial"/>
          <w:sz w:val="18"/>
          <w:szCs w:val="18"/>
          <w:color w:val="auto"/>
        </w:rPr>
        <w:t>Deferred tax assets and liabilities are recorded for the estimated tax impact of temporary differences between the tax basis and book basis of assets and liabilities. Significant components of the Company’s deferred taxes as of December 28, 2019 and December 29, 2018 are as follows (in thousands):</w:t>
      </w:r>
    </w:p>
    <w:p>
      <w:pPr>
        <w:spacing w:after="0" w:line="176" w:lineRule="exact"/>
        <w:rPr>
          <w:sz w:val="20"/>
          <w:szCs w:val="20"/>
          <w:color w:val="auto"/>
        </w:rPr>
      </w:pPr>
    </w:p>
    <w:tbl>
      <w:tblPr>
        <w:tblLayout w:type="fixed"/>
        <w:tblInd w:w="100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3"/>
              <w:spacing w:after="0"/>
              <w:rPr>
                <w:sz w:val="20"/>
                <w:szCs w:val="20"/>
                <w:color w:val="auto"/>
              </w:rPr>
            </w:pPr>
            <w:r>
              <w:rPr>
                <w:rFonts w:ascii="Arial" w:cs="Arial" w:eastAsia="Arial" w:hAnsi="Arial"/>
                <w:sz w:val="14"/>
                <w:szCs w:val="14"/>
                <w:b w:val="1"/>
                <w:bCs w:val="1"/>
                <w:color w:val="auto"/>
                <w:w w:val="90"/>
              </w:rPr>
              <w:t>December 29,</w:t>
            </w:r>
          </w:p>
        </w:tc>
      </w:tr>
      <w:tr>
        <w:trPr>
          <w:trHeight w:val="169"/>
        </w:trPr>
        <w:tc>
          <w:tcPr>
            <w:tcW w:w="20" w:type="dxa"/>
            <w:vAlign w:val="bottom"/>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r>
      <w:tr>
        <w:trPr>
          <w:trHeight w:val="206"/>
        </w:trPr>
        <w:tc>
          <w:tcPr>
            <w:tcW w:w="20" w:type="dxa"/>
            <w:vAlign w:val="bottom"/>
          </w:tcPr>
          <w:p>
            <w:pPr>
              <w:spacing w:after="0"/>
              <w:rPr>
                <w:sz w:val="17"/>
                <w:szCs w:val="17"/>
                <w:color w:val="auto"/>
              </w:rPr>
            </w:pPr>
          </w:p>
        </w:tc>
        <w:tc>
          <w:tcPr>
            <w:tcW w:w="48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9,973</w:t>
            </w: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tax credit carryforwards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13"/>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4,360</w:t>
            </w: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r>
      <w:tr>
        <w:trPr>
          <w:trHeight w:val="213"/>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Capitalized research and development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on shipments to distributors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r>
      <w:tr>
        <w:trPr>
          <w:trHeight w:val="213"/>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Expected future cost-sharing adjustment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25,257</w:t>
            </w: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liabilities and other</w:t>
            </w: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w:t>
            </w:r>
          </w:p>
        </w:tc>
      </w:tr>
      <w:tr>
        <w:trPr>
          <w:trHeight w:val="206"/>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49,283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75,971</w:t>
            </w:r>
          </w:p>
        </w:tc>
      </w:tr>
      <w:tr>
        <w:trPr>
          <w:trHeight w:val="213"/>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r>
      <w:tr>
        <w:trPr>
          <w:trHeight w:val="206"/>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44,797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70,996</w:t>
            </w:r>
          </w:p>
        </w:tc>
      </w:tr>
      <w:tr>
        <w:trPr>
          <w:trHeight w:val="213"/>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intangible assets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20,656</w:t>
            </w:r>
          </w:p>
        </w:tc>
      </w:tr>
      <w:tr>
        <w:trPr>
          <w:trHeight w:val="213"/>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4,604</w:t>
            </w: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8,080</w:t>
            </w: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06"/>
        </w:trPr>
        <w:tc>
          <w:tcPr>
            <w:tcW w:w="20" w:type="dxa"/>
            <w:vAlign w:val="bottom"/>
          </w:tcPr>
          <w:p>
            <w:pPr>
              <w:spacing w:after="0"/>
              <w:rPr>
                <w:sz w:val="17"/>
                <w:szCs w:val="17"/>
                <w:color w:val="auto"/>
              </w:rPr>
            </w:pPr>
          </w:p>
        </w:tc>
        <w:tc>
          <w:tcPr>
            <w:tcW w:w="48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32,921</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35,482</w:t>
            </w:r>
          </w:p>
        </w:tc>
      </w:tr>
      <w:tr>
        <w:trPr>
          <w:trHeight w:val="206"/>
        </w:trPr>
        <w:tc>
          <w:tcPr>
            <w:tcW w:w="20" w:type="dxa"/>
            <w:vAlign w:val="bottom"/>
          </w:tcPr>
          <w:p>
            <w:pPr>
              <w:spacing w:after="0"/>
              <w:rPr>
                <w:sz w:val="17"/>
                <w:szCs w:val="17"/>
                <w:color w:val="auto"/>
              </w:rPr>
            </w:pPr>
          </w:p>
        </w:tc>
        <w:tc>
          <w:tcPr>
            <w:tcW w:w="4800" w:type="dxa"/>
            <w:vAlign w:val="bottom"/>
            <w:tcBorders>
              <w:bottom w:val="single" w:sz="8" w:color="CCEEFF"/>
            </w:tcBorders>
            <w:shd w:val="clear" w:color="auto" w:fill="CCEEFF"/>
          </w:tcPr>
          <w:p>
            <w:pPr>
              <w:ind w:left="200"/>
              <w:spacing w:after="0" w:line="206" w:lineRule="exact"/>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11,876</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35,514</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 w:right="220" w:firstLine="319"/>
        <w:spacing w:after="0" w:line="290" w:lineRule="auto"/>
        <w:rPr>
          <w:sz w:val="20"/>
          <w:szCs w:val="20"/>
          <w:color w:val="auto"/>
        </w:rPr>
      </w:pPr>
      <w:r>
        <w:rPr>
          <w:rFonts w:ascii="Arial" w:cs="Arial" w:eastAsia="Arial" w:hAnsi="Arial"/>
          <w:sz w:val="16"/>
          <w:szCs w:val="16"/>
          <w:color w:val="auto"/>
        </w:rPr>
        <w:t>As of December 28, 2019, the Company had federal net operating loss and research and development tax credit carryforwards of approximately $27.9 million and $1.9 million, respectively, as a result of the Silicon Clocks, Spectra Linear and Ember acquisitions. These carryforwards expire in fiscal years 2020 through 2031. Recognition of these loss and credit carryforwards is subject to an annual limit, which may cause them to expire before they are used. Additionally, as of December 28, 2019, the Company had generated $3.3 million of federal research and development credit carryforwards. These credits expire in 2039 and are not currently subject to an annual limitation.</w:t>
      </w:r>
    </w:p>
    <w:p>
      <w:pPr>
        <w:spacing w:after="0" w:line="164" w:lineRule="exact"/>
        <w:rPr>
          <w:sz w:val="20"/>
          <w:szCs w:val="20"/>
          <w:color w:val="auto"/>
        </w:rPr>
      </w:pPr>
    </w:p>
    <w:p>
      <w:pPr>
        <w:ind w:left="3" w:right="60" w:firstLine="319"/>
        <w:spacing w:after="0" w:line="290" w:lineRule="auto"/>
        <w:rPr>
          <w:sz w:val="20"/>
          <w:szCs w:val="20"/>
          <w:color w:val="auto"/>
        </w:rPr>
      </w:pPr>
      <w:r>
        <w:rPr>
          <w:rFonts w:ascii="Arial" w:cs="Arial" w:eastAsia="Arial" w:hAnsi="Arial"/>
          <w:sz w:val="16"/>
          <w:szCs w:val="16"/>
          <w:color w:val="auto"/>
        </w:rPr>
        <w:t>The Company also had state loss, state tentative minimum tax credit, and state research and development tax credit carryforwards of approximately $33.1 million, $0.1 million, and $12.6 million, respectively. A portion of these loss and credit carryforwards was generated by the Company and a portion was acquired through the Integration Associates, Silicon Clocks, Spectra Linear and Zentri acquisitions. Certain of these carryforwards expire in fiscal years 2024 through 2036, and others do not expire. Recognition of some of these loss and credit carryforwards is subject to an annual limit, which may cause them to expire before they are used.</w:t>
      </w:r>
    </w:p>
    <w:p>
      <w:pPr>
        <w:spacing w:after="0" w:line="164" w:lineRule="exact"/>
        <w:rPr>
          <w:sz w:val="20"/>
          <w:szCs w:val="20"/>
          <w:color w:val="auto"/>
        </w:rPr>
      </w:pPr>
    </w:p>
    <w:p>
      <w:pPr>
        <w:ind w:left="3" w:right="80" w:firstLine="319"/>
        <w:spacing w:after="0" w:line="256" w:lineRule="auto"/>
        <w:rPr>
          <w:sz w:val="20"/>
          <w:szCs w:val="20"/>
          <w:color w:val="auto"/>
        </w:rPr>
      </w:pPr>
      <w:r>
        <w:rPr>
          <w:rFonts w:ascii="Arial" w:cs="Arial" w:eastAsia="Arial" w:hAnsi="Arial"/>
          <w:sz w:val="18"/>
          <w:szCs w:val="18"/>
          <w:color w:val="auto"/>
        </w:rPr>
        <w:t>A valuation allowance is established against a deferred tax asset when it is more likely than not that the deferred tax asset will not be realized. The Company maintains a valuation allowance with respect to certain deferred tax assets relating to state research and development tax credit and state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638810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63"/>
          </w:cols>
          <w:pgMar w:left="917" w:top="512" w:right="9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activity related to the valuation allowance for deferred tax assets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88"/>
              </w:rPr>
              <w:t>Balance at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Additions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82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1"/>
              </w:rPr>
              <w:t>Charged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9"/>
              <w:spacing w:after="0" w:line="146" w:lineRule="exact"/>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6"/>
              </w:rPr>
              <w:t>Deductions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Other Accounts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Year ended December 28, 2019</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4,975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380" w:firstLine="319"/>
        <w:spacing w:after="0" w:line="253" w:lineRule="auto"/>
        <w:rPr>
          <w:sz w:val="20"/>
          <w:szCs w:val="20"/>
          <w:color w:val="auto"/>
        </w:rPr>
      </w:pPr>
      <w:r>
        <w:rPr>
          <w:rFonts w:ascii="Arial" w:cs="Arial" w:eastAsia="Arial" w:hAnsi="Arial"/>
          <w:sz w:val="18"/>
          <w:szCs w:val="18"/>
          <w:color w:val="auto"/>
        </w:rPr>
        <w:t>At the end of fiscal 2019, undistributed earnings of certain of the Company's foreign subsidiaries of approximately $71.5 million are intended to be permanently reinvested outside the U.S. Accordingly, no provision for foreign withholding tax and state income taxes associated with a distribution of these earnings has been made. Determination of the amount of the unrecognized deferred tax liability on these unremitted earnings is not practicable.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activity related to gross unrecognized tax benefits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17"/>
        </w:trPr>
        <w:tc>
          <w:tcPr>
            <w:tcW w:w="6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56"/>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8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76"/>
              <w:spacing w:after="0" w:line="117" w:lineRule="exact"/>
              <w:rPr>
                <w:sz w:val="20"/>
                <w:szCs w:val="20"/>
                <w:color w:val="auto"/>
              </w:rPr>
            </w:pPr>
            <w:r>
              <w:rPr>
                <w:rFonts w:ascii="Arial" w:cs="Arial" w:eastAsia="Arial" w:hAnsi="Arial"/>
                <w:sz w:val="13"/>
                <w:szCs w:val="13"/>
                <w:b w:val="1"/>
                <w:bCs w:val="1"/>
                <w:color w:val="auto"/>
                <w:w w:val="96"/>
              </w:rPr>
              <w:t>December 30,</w:t>
            </w:r>
          </w:p>
        </w:tc>
      </w:tr>
      <w:tr>
        <w:trPr>
          <w:trHeight w:val="169"/>
        </w:trPr>
        <w:tc>
          <w:tcPr>
            <w:tcW w:w="6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06"/>
        </w:trPr>
        <w:tc>
          <w:tcPr>
            <w:tcW w:w="6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2,036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3,187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3,054</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Reductions based on tax positions related to prior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0"/>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Reductions for tax positions as a result of a lapse of the applicable statute of</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limitations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06"/>
        </w:trPr>
        <w:tc>
          <w:tcPr>
            <w:tcW w:w="6240" w:type="dxa"/>
            <w:vAlign w:val="bottom"/>
          </w:tcPr>
          <w:p>
            <w:pPr>
              <w:spacing w:after="0" w:line="206" w:lineRule="exact"/>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2,276</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2,036</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3,187</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60" w:firstLine="319"/>
        <w:spacing w:after="0" w:line="256" w:lineRule="auto"/>
        <w:rPr>
          <w:sz w:val="20"/>
          <w:szCs w:val="20"/>
          <w:color w:val="auto"/>
        </w:rPr>
      </w:pPr>
      <w:r>
        <w:rPr>
          <w:rFonts w:ascii="Arial" w:cs="Arial" w:eastAsia="Arial" w:hAnsi="Arial"/>
          <w:sz w:val="18"/>
          <w:szCs w:val="18"/>
          <w:color w:val="auto"/>
        </w:rPr>
        <w:t>As of December 28, 2019, December 29, 2018 and December 30, 2017, the Company had gross unrecognized tax benefits, inclusive of interest, of $2.4 million, $2.1 million and $3.2 million, respectively, of which $1.9 million, $2.1 million and $3.2 million, respectively, would affect the effective tax rate if recognized.</w:t>
      </w:r>
    </w:p>
    <w:p>
      <w:pPr>
        <w:spacing w:after="0" w:line="188" w:lineRule="exact"/>
        <w:rPr>
          <w:sz w:val="20"/>
          <w:szCs w:val="20"/>
          <w:color w:val="auto"/>
        </w:rPr>
      </w:pPr>
    </w:p>
    <w:p>
      <w:pPr>
        <w:ind w:right="300" w:firstLine="319"/>
        <w:spacing w:after="0" w:line="266"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These amounts were not material for any of the periods presented.</w:t>
      </w:r>
    </w:p>
    <w:p>
      <w:pPr>
        <w:spacing w:after="0" w:line="179" w:lineRule="exact"/>
        <w:rPr>
          <w:sz w:val="20"/>
          <w:szCs w:val="20"/>
          <w:color w:val="auto"/>
        </w:rPr>
      </w:pPr>
    </w:p>
    <w:p>
      <w:pPr>
        <w:ind w:right="20" w:firstLine="319"/>
        <w:spacing w:after="0" w:line="286" w:lineRule="auto"/>
        <w:rPr>
          <w:sz w:val="20"/>
          <w:szCs w:val="20"/>
          <w:color w:val="auto"/>
        </w:rPr>
      </w:pPr>
      <w:r>
        <w:rPr>
          <w:rFonts w:ascii="Arial" w:cs="Arial" w:eastAsia="Arial" w:hAnsi="Arial"/>
          <w:sz w:val="16"/>
          <w:szCs w:val="16"/>
          <w:color w:val="auto"/>
        </w:rPr>
        <w:t>Following the completion of the Norwegian Tax Administration (“NTA”) examination of the Company’s Norwegian subsidiary for income tax matters relating to fiscal years 2013, 2014, 2015 and 2016, the Company received an assessment from the NTA in December 2017 concerning an adjustment to its 2013 taxable income related to the pricing of an intercompany transaction. The Company is currently appealing the assessment. The adjustment to the pricing of the intercompany transaction results in approximately $16.0 million additional Norwegian income tax. The Company disagrees with the NTA’s assessment and believes the Company’s position on this matter is more likely than not to be sustained. The Company plans to exhaust all available administrative remedies, and if unable to resolve this matter through administrative remedies with the NTA, the Company plans to pursue judicial remedies.</w:t>
      </w:r>
    </w:p>
    <w:p>
      <w:pPr>
        <w:spacing w:after="0" w:line="166" w:lineRule="exact"/>
        <w:rPr>
          <w:sz w:val="20"/>
          <w:szCs w:val="20"/>
          <w:color w:val="auto"/>
        </w:rPr>
      </w:pPr>
    </w:p>
    <w:p>
      <w:pPr>
        <w:ind w:right="80" w:firstLine="319"/>
        <w:spacing w:after="0" w:line="256" w:lineRule="auto"/>
        <w:rPr>
          <w:sz w:val="20"/>
          <w:szCs w:val="20"/>
          <w:color w:val="auto"/>
        </w:rPr>
      </w:pPr>
      <w:r>
        <w:rPr>
          <w:rFonts w:ascii="Arial" w:cs="Arial" w:eastAsia="Arial" w:hAnsi="Arial"/>
          <w:sz w:val="18"/>
          <w:szCs w:val="18"/>
          <w:color w:val="auto"/>
        </w:rPr>
        <w:t>The Company believes that it has accrued adequate reserves related to all matters contained in tax periods open to examination. Should the Company experience an unfavorable outcome in the NTA matter, however, such an outcome could have a material impact on its financial statements.</w:t>
      </w:r>
    </w:p>
    <w:p>
      <w:pPr>
        <w:sectPr>
          <w:pgSz w:w="11900" w:h="16838" w:orient="portrait"/>
          <w:cols w:equalWidth="0" w:num="1">
            <w:col w:w="10080"/>
          </w:cols>
          <w:pgMar w:left="920" w:top="51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638810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512" w:right="8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2019</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24" w:lineRule="exact"/>
        <w:rPr>
          <w:sz w:val="20"/>
          <w:szCs w:val="20"/>
          <w:color w:val="auto"/>
        </w:rPr>
      </w:pPr>
    </w:p>
    <w:p>
      <w:pPr>
        <w:ind w:right="660" w:firstLine="319"/>
        <w:spacing w:after="0" w:line="266" w:lineRule="auto"/>
        <w:rPr>
          <w:sz w:val="20"/>
          <w:szCs w:val="20"/>
          <w:color w:val="auto"/>
        </w:rPr>
      </w:pPr>
      <w:r>
        <w:rPr>
          <w:rFonts w:ascii="Arial" w:cs="Arial" w:eastAsia="Arial" w:hAnsi="Arial"/>
          <w:sz w:val="18"/>
          <w:szCs w:val="18"/>
          <w:color w:val="auto"/>
        </w:rPr>
        <w:t>Tax years 2015 through 2019 remain open to examination by the major taxing jurisdictions in which the Company operates. The Company is not currently under audit in any major taxing jurisdiction.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does not believe gross unrecognized tax benefits will decrease in the next 12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224" w:lineRule="exact"/>
        <w:rPr>
          <w:sz w:val="20"/>
          <w:szCs w:val="20"/>
          <w:color w:val="auto"/>
        </w:rPr>
      </w:pPr>
    </w:p>
    <w:p>
      <w:pPr>
        <w:ind w:firstLine="319"/>
        <w:spacing w:after="0" w:line="256" w:lineRule="auto"/>
        <w:rPr>
          <w:sz w:val="20"/>
          <w:szCs w:val="20"/>
          <w:color w:val="auto"/>
        </w:rPr>
      </w:pPr>
      <w:r>
        <w:rPr>
          <w:rFonts w:ascii="Arial" w:cs="Arial" w:eastAsia="Arial" w:hAnsi="Arial"/>
          <w:sz w:val="18"/>
          <w:szCs w:val="18"/>
          <w:color w:val="auto"/>
        </w:rPr>
        <w:t>The Company has one operating segment, mixed-signal analog intensive products, consisting of numerous product areas. The Company’s chief operating decision maker is considered to be its Chief Executive Officer. The chief operating decision maker allocates resources and assesses performance of the business and other activities at the operating segment level.</w:t>
      </w:r>
    </w:p>
    <w:p>
      <w:pPr>
        <w:spacing w:after="0" w:line="188" w:lineRule="exact"/>
        <w:rPr>
          <w:sz w:val="20"/>
          <w:szCs w:val="20"/>
          <w:color w:val="auto"/>
        </w:rPr>
      </w:pPr>
    </w:p>
    <w:p>
      <w:pPr>
        <w:ind w:right="320" w:firstLine="319"/>
        <w:spacing w:after="0" w:line="266" w:lineRule="auto"/>
        <w:rPr>
          <w:sz w:val="20"/>
          <w:szCs w:val="20"/>
          <w:color w:val="auto"/>
        </w:rPr>
      </w:pPr>
      <w:r>
        <w:rPr>
          <w:rFonts w:ascii="Arial" w:cs="Arial" w:eastAsia="Arial" w:hAnsi="Arial"/>
          <w:sz w:val="18"/>
          <w:szCs w:val="18"/>
          <w:color w:val="auto"/>
        </w:rPr>
        <w:t xml:space="preserve">The Company groups its products into four categories, based on the markets and applications in which the products may be used. See Note 14, </w:t>
      </w:r>
      <w:r>
        <w:rPr>
          <w:rFonts w:ascii="Arial" w:cs="Arial" w:eastAsia="Arial" w:hAnsi="Arial"/>
          <w:sz w:val="18"/>
          <w:szCs w:val="18"/>
          <w:i w:val="1"/>
          <w:iCs w:val="1"/>
          <w:color w:val="auto"/>
        </w:rPr>
        <w:t>Revenues</w:t>
      </w:r>
      <w:r>
        <w:rPr>
          <w:rFonts w:ascii="Arial" w:cs="Arial" w:eastAsia="Arial" w:hAnsi="Arial"/>
          <w:sz w:val="18"/>
          <w:szCs w:val="18"/>
          <w:color w:val="auto"/>
        </w:rPr>
        <w:t>, for a summary of the Company’s revenue by product category.</w:t>
      </w:r>
    </w:p>
    <w:p>
      <w:pPr>
        <w:spacing w:after="0" w:line="179" w:lineRule="exact"/>
        <w:rPr>
          <w:sz w:val="20"/>
          <w:szCs w:val="20"/>
          <w:color w:val="auto"/>
        </w:rPr>
      </w:pPr>
    </w:p>
    <w:p>
      <w:pPr>
        <w:ind w:right="520" w:firstLine="319"/>
        <w:spacing w:after="0" w:line="266" w:lineRule="auto"/>
        <w:rPr>
          <w:sz w:val="20"/>
          <w:szCs w:val="20"/>
          <w:color w:val="auto"/>
        </w:rPr>
      </w:pPr>
      <w:r>
        <w:rPr>
          <w:rFonts w:ascii="Arial" w:cs="Arial" w:eastAsia="Arial" w:hAnsi="Arial"/>
          <w:sz w:val="18"/>
          <w:szCs w:val="18"/>
          <w:color w:val="auto"/>
        </w:rPr>
        <w:t>Revenue is attributed to a geographic area based on the shipped-to location. The following summarizes the Company’s revenue by geographic area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17"/>
        </w:trPr>
        <w:tc>
          <w:tcPr>
            <w:tcW w:w="6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right"/>
              <w:ind w:right="58"/>
              <w:spacing w:after="0" w:line="117" w:lineRule="exact"/>
              <w:rPr>
                <w:sz w:val="20"/>
                <w:szCs w:val="20"/>
                <w:color w:val="auto"/>
              </w:rPr>
            </w:pPr>
            <w:r>
              <w:rPr>
                <w:rFonts w:ascii="Arial" w:cs="Arial" w:eastAsia="Arial" w:hAnsi="Arial"/>
                <w:sz w:val="13"/>
                <w:szCs w:val="13"/>
                <w:b w:val="1"/>
                <w:bCs w:val="1"/>
                <w:color w:val="auto"/>
                <w:w w:val="99"/>
              </w:rPr>
              <w:t>December 28,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w w:val="96"/>
              </w:rPr>
              <w:t>December 29,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8"/>
              <w:spacing w:after="0" w:line="117" w:lineRule="exact"/>
              <w:rPr>
                <w:sz w:val="20"/>
                <w:szCs w:val="20"/>
                <w:color w:val="auto"/>
              </w:rPr>
            </w:pPr>
            <w:r>
              <w:rPr>
                <w:rFonts w:ascii="Arial" w:cs="Arial" w:eastAsia="Arial" w:hAnsi="Arial"/>
                <w:sz w:val="13"/>
                <w:szCs w:val="13"/>
                <w:b w:val="1"/>
                <w:bCs w:val="1"/>
                <w:color w:val="auto"/>
                <w:w w:val="99"/>
              </w:rPr>
              <w:t>December 30,</w:t>
            </w:r>
          </w:p>
        </w:tc>
      </w:tr>
      <w:tr>
        <w:trPr>
          <w:trHeight w:val="169"/>
        </w:trPr>
        <w:tc>
          <w:tcPr>
            <w:tcW w:w="6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r>
      <w:tr>
        <w:trPr>
          <w:trHeight w:val="206"/>
        </w:trPr>
        <w:tc>
          <w:tcPr>
            <w:tcW w:w="6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110,451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149,385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112,574</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354,855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344,255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307,748</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372,248</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348,545</w:t>
            </w:r>
          </w:p>
        </w:tc>
      </w:tr>
      <w:tr>
        <w:trPr>
          <w:trHeight w:val="206"/>
        </w:trPr>
        <w:tc>
          <w:tcPr>
            <w:tcW w:w="6240" w:type="dxa"/>
            <w:vAlign w:val="bottom"/>
          </w:tcPr>
          <w:p>
            <w:pPr>
              <w:spacing w:after="0" w:line="206" w:lineRule="exact"/>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837,554</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868,267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768,867</w:t>
            </w: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Company’s property and equipment, net by geographic area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29,</w:t>
            </w:r>
          </w:p>
        </w:tc>
      </w:tr>
      <w:tr>
        <w:trPr>
          <w:trHeight w:val="169"/>
        </w:trPr>
        <w:tc>
          <w:tcPr>
            <w:tcW w:w="1020" w:type="dxa"/>
            <w:vAlign w:val="bottom"/>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0" w:type="dxa"/>
            <w:vAlign w:val="bottom"/>
          </w:tcPr>
          <w:p>
            <w:pPr>
              <w:spacing w:after="0"/>
              <w:rPr>
                <w:sz w:val="14"/>
                <w:szCs w:val="14"/>
                <w:color w:val="auto"/>
              </w:rPr>
            </w:pPr>
          </w:p>
        </w:tc>
      </w:tr>
      <w:tr>
        <w:trPr>
          <w:trHeight w:val="206"/>
        </w:trPr>
        <w:tc>
          <w:tcPr>
            <w:tcW w:w="1020" w:type="dxa"/>
            <w:vAlign w:val="bottom"/>
          </w:tcPr>
          <w:p>
            <w:pPr>
              <w:spacing w:after="0"/>
              <w:rPr>
                <w:sz w:val="17"/>
                <w:szCs w:val="17"/>
                <w:color w:val="auto"/>
              </w:rPr>
            </w:pPr>
          </w:p>
        </w:tc>
        <w:tc>
          <w:tcPr>
            <w:tcW w:w="24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United States</w:t>
            </w:r>
          </w:p>
        </w:tc>
        <w:tc>
          <w:tcPr>
            <w:tcW w:w="3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126,572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128,622</w:t>
            </w:r>
          </w:p>
        </w:tc>
        <w:tc>
          <w:tcPr>
            <w:tcW w:w="1000" w:type="dxa"/>
            <w:vAlign w:val="bottom"/>
          </w:tcPr>
          <w:p>
            <w:pPr>
              <w:spacing w:after="0"/>
              <w:rPr>
                <w:sz w:val="17"/>
                <w:szCs w:val="17"/>
                <w:color w:val="auto"/>
              </w:rPr>
            </w:pPr>
          </w:p>
        </w:tc>
      </w:tr>
      <w:tr>
        <w:trPr>
          <w:trHeight w:val="213"/>
        </w:trPr>
        <w:tc>
          <w:tcPr>
            <w:tcW w:w="1020" w:type="dxa"/>
            <w:vAlign w:val="bottom"/>
          </w:tcPr>
          <w:p>
            <w:pPr>
              <w:spacing w:after="0"/>
              <w:rPr>
                <w:sz w:val="18"/>
                <w:szCs w:val="18"/>
                <w:color w:val="auto"/>
              </w:rPr>
            </w:pPr>
          </w:p>
        </w:tc>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 of world</w:t>
            </w:r>
          </w:p>
        </w:tc>
        <w:tc>
          <w:tcPr>
            <w:tcW w:w="3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1000" w:type="dxa"/>
            <w:vAlign w:val="bottom"/>
          </w:tcPr>
          <w:p>
            <w:pPr>
              <w:spacing w:after="0"/>
              <w:rPr>
                <w:sz w:val="18"/>
                <w:szCs w:val="18"/>
                <w:color w:val="auto"/>
              </w:rPr>
            </w:pPr>
          </w:p>
        </w:tc>
      </w:tr>
      <w:tr>
        <w:trPr>
          <w:trHeight w:val="206"/>
        </w:trPr>
        <w:tc>
          <w:tcPr>
            <w:tcW w:w="1020" w:type="dxa"/>
            <w:vAlign w:val="bottom"/>
          </w:tcPr>
          <w:p>
            <w:pPr>
              <w:spacing w:after="0"/>
              <w:rPr>
                <w:sz w:val="17"/>
                <w:szCs w:val="17"/>
                <w:color w:val="auto"/>
              </w:rPr>
            </w:pPr>
          </w:p>
        </w:tc>
        <w:tc>
          <w:tcPr>
            <w:tcW w:w="2400" w:type="dxa"/>
            <w:vAlign w:val="bottom"/>
            <w:tcBorders>
              <w:bottom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Total</w:t>
            </w:r>
          </w:p>
        </w:tc>
        <w:tc>
          <w:tcPr>
            <w:tcW w:w="3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135,939</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139,049</w:t>
            </w:r>
          </w:p>
        </w:tc>
        <w:tc>
          <w:tcPr>
            <w:tcW w:w="10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43"/>
        </w:trPr>
        <w:tc>
          <w:tcPr>
            <w:tcW w:w="1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40" w:type="dxa"/>
            <w:vAlign w:val="bottom"/>
            <w:gridSpan w:val="2"/>
          </w:tcPr>
          <w:p>
            <w:pPr>
              <w:jc w:val="right"/>
              <w:ind w:right="1588"/>
              <w:spacing w:after="0"/>
              <w:rPr>
                <w:sz w:val="20"/>
                <w:szCs w:val="20"/>
                <w:color w:val="auto"/>
              </w:rPr>
            </w:pPr>
            <w:r>
              <w:rPr>
                <w:rFonts w:ascii="Arial" w:cs="Arial" w:eastAsia="Arial" w:hAnsi="Arial"/>
                <w:sz w:val="18"/>
                <w:szCs w:val="18"/>
                <w:color w:val="auto"/>
              </w:rPr>
              <w:t>F-36</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3"/>
        </w:trPr>
        <w:tc>
          <w:tcPr>
            <w:tcW w:w="10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513" w:right="899" w:bottom="1440" w:gutter="0" w:footer="0" w:header="0"/>
        </w:sectPr>
      </w:pPr>
    </w:p>
    <w:bookmarkStart w:id="81" w:name="page82"/>
    <w:bookmarkEnd w:id="81"/>
    <w:p>
      <w:pPr>
        <w:ind w:left="3"/>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Supplementary Financial Information (Unaudited)</w:t>
      </w:r>
    </w:p>
    <w:p>
      <w:pPr>
        <w:spacing w:after="0" w:line="224" w:lineRule="exact"/>
        <w:rPr>
          <w:sz w:val="20"/>
          <w:szCs w:val="20"/>
          <w:color w:val="auto"/>
        </w:rPr>
      </w:pPr>
    </w:p>
    <w:p>
      <w:pPr>
        <w:ind w:left="3" w:right="240" w:firstLine="319"/>
        <w:spacing w:after="0" w:line="266" w:lineRule="auto"/>
        <w:rPr>
          <w:sz w:val="20"/>
          <w:szCs w:val="20"/>
          <w:color w:val="auto"/>
        </w:rPr>
      </w:pPr>
      <w:r>
        <w:rPr>
          <w:rFonts w:ascii="Arial" w:cs="Arial" w:eastAsia="Arial" w:hAnsi="Arial"/>
          <w:sz w:val="18"/>
          <w:szCs w:val="18"/>
          <w:color w:val="auto"/>
        </w:rPr>
        <w:t>Quarterly financial information for fiscal 2019 and 2018 is as follows. All quarterly periods reported here had 13 weeks (in thousands, except per share amounts):</w:t>
      </w:r>
    </w:p>
    <w:p>
      <w:pPr>
        <w:spacing w:after="0" w:line="182" w:lineRule="exact"/>
        <w:rPr>
          <w:sz w:val="20"/>
          <w:szCs w:val="20"/>
          <w:color w:val="auto"/>
        </w:rPr>
      </w:pPr>
    </w:p>
    <w:tbl>
      <w:tblPr>
        <w:tblLayout w:type="fixed"/>
        <w:tblInd w:w="3"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2019</w:t>
            </w: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17"/>
        </w:trPr>
        <w:tc>
          <w:tcPr>
            <w:tcW w:w="25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116"/>
              <w:spacing w:after="0" w:line="117" w:lineRule="exact"/>
              <w:rPr>
                <w:sz w:val="20"/>
                <w:szCs w:val="20"/>
                <w:color w:val="auto"/>
              </w:rPr>
            </w:pPr>
            <w:r>
              <w:rPr>
                <w:rFonts w:ascii="Arial" w:cs="Arial" w:eastAsia="Arial" w:hAnsi="Arial"/>
                <w:sz w:val="13"/>
                <w:szCs w:val="13"/>
                <w:b w:val="1"/>
                <w:bCs w:val="1"/>
                <w:color w:val="auto"/>
              </w:rPr>
              <w:t>Fourth</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278"/>
              <w:spacing w:after="0" w:line="117" w:lineRule="exact"/>
              <w:rPr>
                <w:sz w:val="20"/>
                <w:szCs w:val="20"/>
                <w:color w:val="auto"/>
              </w:rPr>
            </w:pPr>
            <w:r>
              <w:rPr>
                <w:rFonts w:ascii="Arial" w:cs="Arial" w:eastAsia="Arial" w:hAnsi="Arial"/>
                <w:sz w:val="13"/>
                <w:szCs w:val="13"/>
                <w:b w:val="1"/>
                <w:bCs w:val="1"/>
                <w:color w:val="auto"/>
              </w:rPr>
              <w:t>Third</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tcPr>
          <w:p>
            <w:pPr>
              <w:jc w:val="right"/>
              <w:ind w:right="560"/>
              <w:spacing w:after="0" w:line="117" w:lineRule="exact"/>
              <w:rPr>
                <w:sz w:val="20"/>
                <w:szCs w:val="20"/>
                <w:color w:val="auto"/>
              </w:rPr>
            </w:pPr>
            <w:r>
              <w:rPr>
                <w:rFonts w:ascii="Arial" w:cs="Arial" w:eastAsia="Arial" w:hAnsi="Arial"/>
                <w:sz w:val="13"/>
                <w:szCs w:val="13"/>
                <w:b w:val="1"/>
                <w:bCs w:val="1"/>
                <w:color w:val="auto"/>
                <w:w w:val="97"/>
              </w:rPr>
              <w:t>Second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96"/>
              <w:spacing w:after="0" w:line="117" w:lineRule="exact"/>
              <w:rPr>
                <w:sz w:val="20"/>
                <w:szCs w:val="20"/>
                <w:color w:val="auto"/>
              </w:rPr>
            </w:pPr>
            <w:r>
              <w:rPr>
                <w:rFonts w:ascii="Arial" w:cs="Arial" w:eastAsia="Arial" w:hAnsi="Arial"/>
                <w:sz w:val="13"/>
                <w:szCs w:val="13"/>
                <w:b w:val="1"/>
                <w:bCs w:val="1"/>
                <w:color w:val="auto"/>
              </w:rPr>
              <w:t>First</w:t>
            </w:r>
          </w:p>
        </w:tc>
      </w:tr>
      <w:tr>
        <w:trPr>
          <w:trHeight w:val="169"/>
        </w:trPr>
        <w:tc>
          <w:tcPr>
            <w:tcW w:w="2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16"/>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6"/>
              <w:spacing w:after="0"/>
              <w:rPr>
                <w:sz w:val="20"/>
                <w:szCs w:val="20"/>
                <w:color w:val="auto"/>
              </w:rPr>
            </w:pPr>
            <w:r>
              <w:rPr>
                <w:rFonts w:ascii="Arial" w:cs="Arial" w:eastAsia="Arial" w:hAnsi="Arial"/>
                <w:sz w:val="14"/>
                <w:szCs w:val="14"/>
                <w:b w:val="1"/>
                <w:bCs w:val="1"/>
                <w:color w:val="auto"/>
                <w:w w:val="98"/>
              </w:rPr>
              <w:t>Quarter</w:t>
            </w:r>
          </w:p>
        </w:tc>
      </w:tr>
      <w:tr>
        <w:trPr>
          <w:trHeight w:val="206"/>
        </w:trPr>
        <w:tc>
          <w:tcPr>
            <w:tcW w:w="25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2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219,438</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line="20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223,294</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206,709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188,113</w:t>
            </w:r>
          </w:p>
        </w:tc>
      </w:tr>
      <w:tr>
        <w:trPr>
          <w:trHeight w:val="213"/>
        </w:trPr>
        <w:tc>
          <w:tcPr>
            <w:tcW w:w="2520" w:type="dxa"/>
            <w:vAlign w:val="bottom"/>
          </w:tcPr>
          <w:p>
            <w:pPr>
              <w:spacing w:after="0"/>
              <w:rPr>
                <w:sz w:val="20"/>
                <w:szCs w:val="20"/>
                <w:color w:val="auto"/>
              </w:rPr>
            </w:pPr>
            <w:r>
              <w:rPr>
                <w:rFonts w:ascii="Arial" w:cs="Arial" w:eastAsia="Arial" w:hAnsi="Arial"/>
                <w:sz w:val="18"/>
                <w:szCs w:val="18"/>
                <w:color w:val="auto"/>
              </w:rPr>
              <w:t>Gross profit</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133,271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134,090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127,049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115,874</w:t>
            </w:r>
          </w:p>
        </w:tc>
      </w:tr>
      <w:tr>
        <w:trPr>
          <w:trHeight w:val="213"/>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r>
      <w:tr>
        <w:trPr>
          <w:trHeight w:val="213"/>
        </w:trPr>
        <w:tc>
          <w:tcPr>
            <w:tcW w:w="2520" w:type="dxa"/>
            <w:vAlign w:val="bottom"/>
          </w:tcPr>
          <w:p>
            <w:pPr>
              <w:spacing w:after="0"/>
              <w:rPr>
                <w:sz w:val="20"/>
                <w:szCs w:val="20"/>
                <w:color w:val="auto"/>
              </w:rPr>
            </w:pPr>
            <w:r>
              <w:rPr>
                <w:rFonts w:ascii="Arial" w:cs="Arial" w:eastAsia="Arial" w:hAnsi="Arial"/>
                <w:sz w:val="18"/>
                <w:szCs w:val="18"/>
                <w:color w:val="auto"/>
              </w:rPr>
              <w:t>Net income (loss)</w:t>
            </w:r>
          </w:p>
        </w:tc>
        <w:tc>
          <w:tcPr>
            <w:tcW w:w="276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9,715</w:t>
            </w:r>
          </w:p>
        </w:tc>
        <w:tc>
          <w:tcPr>
            <w:tcW w:w="42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20,181</w:t>
            </w:r>
          </w:p>
        </w:tc>
        <w:tc>
          <w:tcPr>
            <w:tcW w:w="480" w:type="dxa"/>
            <w:vAlign w:val="bottom"/>
            <w:gridSpan w:val="4"/>
          </w:tcPr>
          <w:p>
            <w:pPr>
              <w:jc w:val="right"/>
              <w:ind w:right="108"/>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(16,029)(1)</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13"/>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2520" w:type="dxa"/>
            <w:vAlign w:val="bottom"/>
          </w:tcPr>
          <w:p>
            <w:pPr>
              <w:ind w:left="100"/>
              <w:spacing w:after="0"/>
              <w:rPr>
                <w:sz w:val="20"/>
                <w:szCs w:val="20"/>
                <w:color w:val="auto"/>
              </w:rPr>
            </w:pPr>
            <w:r>
              <w:rPr>
                <w:rFonts w:ascii="Arial" w:cs="Arial" w:eastAsia="Arial" w:hAnsi="Arial"/>
                <w:sz w:val="18"/>
                <w:szCs w:val="18"/>
                <w:color w:val="auto"/>
              </w:rPr>
              <w:t>Basic</w:t>
            </w:r>
          </w:p>
        </w:tc>
        <w:tc>
          <w:tcPr>
            <w:tcW w:w="276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0.22</w:t>
            </w:r>
          </w:p>
        </w:tc>
        <w:tc>
          <w:tcPr>
            <w:tcW w:w="42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0.47</w:t>
            </w:r>
          </w:p>
        </w:tc>
        <w:tc>
          <w:tcPr>
            <w:tcW w:w="480" w:type="dxa"/>
            <w:vAlign w:val="bottom"/>
            <w:gridSpan w:val="4"/>
          </w:tcPr>
          <w:p>
            <w:pPr>
              <w:jc w:val="right"/>
              <w:ind w:right="108"/>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(0.37)(1)</w:t>
            </w:r>
          </w:p>
        </w:tc>
        <w:tc>
          <w:tcPr>
            <w:tcW w:w="24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13"/>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76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2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8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(0.37)(1)</w:t>
            </w:r>
          </w:p>
        </w:tc>
        <w:tc>
          <w:tcPr>
            <w:tcW w:w="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372"/>
        </w:trPr>
        <w:tc>
          <w:tcPr>
            <w:tcW w:w="25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Fiscal 2018</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17"/>
        </w:trPr>
        <w:tc>
          <w:tcPr>
            <w:tcW w:w="25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76"/>
              <w:spacing w:after="0" w:line="117" w:lineRule="exact"/>
              <w:rPr>
                <w:sz w:val="20"/>
                <w:szCs w:val="20"/>
                <w:color w:val="auto"/>
              </w:rPr>
            </w:pPr>
            <w:r>
              <w:rPr>
                <w:rFonts w:ascii="Arial" w:cs="Arial" w:eastAsia="Arial" w:hAnsi="Arial"/>
                <w:sz w:val="13"/>
                <w:szCs w:val="13"/>
                <w:b w:val="1"/>
                <w:bCs w:val="1"/>
                <w:color w:val="auto"/>
              </w:rPr>
              <w:t>Fourth</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258"/>
              <w:spacing w:after="0" w:line="117" w:lineRule="exact"/>
              <w:rPr>
                <w:sz w:val="20"/>
                <w:szCs w:val="20"/>
                <w:color w:val="auto"/>
              </w:rPr>
            </w:pPr>
            <w:r>
              <w:rPr>
                <w:rFonts w:ascii="Arial" w:cs="Arial" w:eastAsia="Arial" w:hAnsi="Arial"/>
                <w:sz w:val="13"/>
                <w:szCs w:val="13"/>
                <w:b w:val="1"/>
                <w:bCs w:val="1"/>
                <w:color w:val="auto"/>
              </w:rPr>
              <w:t>Third</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tcPr>
          <w:p>
            <w:pPr>
              <w:jc w:val="right"/>
              <w:ind w:right="520"/>
              <w:spacing w:after="0" w:line="117" w:lineRule="exact"/>
              <w:rPr>
                <w:sz w:val="20"/>
                <w:szCs w:val="20"/>
                <w:color w:val="auto"/>
              </w:rPr>
            </w:pPr>
            <w:r>
              <w:rPr>
                <w:rFonts w:ascii="Arial" w:cs="Arial" w:eastAsia="Arial" w:hAnsi="Arial"/>
                <w:sz w:val="13"/>
                <w:szCs w:val="13"/>
                <w:b w:val="1"/>
                <w:bCs w:val="1"/>
                <w:color w:val="auto"/>
              </w:rPr>
              <w:t>Second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136"/>
              <w:spacing w:after="0" w:line="117" w:lineRule="exact"/>
              <w:rPr>
                <w:sz w:val="20"/>
                <w:szCs w:val="20"/>
                <w:color w:val="auto"/>
              </w:rPr>
            </w:pPr>
            <w:r>
              <w:rPr>
                <w:rFonts w:ascii="Arial" w:cs="Arial" w:eastAsia="Arial" w:hAnsi="Arial"/>
                <w:sz w:val="13"/>
                <w:szCs w:val="13"/>
                <w:b w:val="1"/>
                <w:bCs w:val="1"/>
                <w:color w:val="auto"/>
              </w:rPr>
              <w:t>First</w:t>
            </w:r>
          </w:p>
        </w:tc>
      </w:tr>
      <w:tr>
        <w:trPr>
          <w:trHeight w:val="169"/>
        </w:trPr>
        <w:tc>
          <w:tcPr>
            <w:tcW w:w="25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8"/>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r>
      <w:tr>
        <w:trPr>
          <w:trHeight w:val="206"/>
        </w:trPr>
        <w:tc>
          <w:tcPr>
            <w:tcW w:w="25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Revenues</w:t>
            </w:r>
          </w:p>
        </w:tc>
        <w:tc>
          <w:tcPr>
            <w:tcW w:w="26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215,534</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230,243</w:t>
            </w: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217,106</w:t>
            </w: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205,384</w:t>
            </w:r>
          </w:p>
        </w:tc>
      </w:tr>
      <w:tr>
        <w:trPr>
          <w:trHeight w:val="213"/>
        </w:trPr>
        <w:tc>
          <w:tcPr>
            <w:tcW w:w="2520" w:type="dxa"/>
            <w:vAlign w:val="bottom"/>
          </w:tcPr>
          <w:p>
            <w:pPr>
              <w:spacing w:after="0"/>
              <w:rPr>
                <w:sz w:val="20"/>
                <w:szCs w:val="20"/>
                <w:color w:val="auto"/>
              </w:rPr>
            </w:pPr>
            <w:r>
              <w:rPr>
                <w:rFonts w:ascii="Arial" w:cs="Arial" w:eastAsia="Arial" w:hAnsi="Arial"/>
                <w:sz w:val="18"/>
                <w:szCs w:val="18"/>
                <w:color w:val="auto"/>
              </w:rPr>
              <w:t>Gross profit</w:t>
            </w: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135,627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131,292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124,237</w:t>
            </w:r>
          </w:p>
        </w:tc>
      </w:tr>
      <w:tr>
        <w:trPr>
          <w:trHeight w:val="213"/>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w:t>
            </w:r>
          </w:p>
        </w:tc>
      </w:tr>
      <w:tr>
        <w:trPr>
          <w:trHeight w:val="213"/>
        </w:trPr>
        <w:tc>
          <w:tcPr>
            <w:tcW w:w="252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3"/>
          </w:tcPr>
          <w:p>
            <w:pPr>
              <w:ind w:left="2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15,145</w:t>
            </w:r>
          </w:p>
        </w:tc>
        <w:tc>
          <w:tcPr>
            <w:tcW w:w="42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27,761</w:t>
            </w:r>
          </w:p>
        </w:tc>
        <w:tc>
          <w:tcPr>
            <w:tcW w:w="480" w:type="dxa"/>
            <w:vAlign w:val="bottom"/>
            <w:gridSpan w:val="4"/>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3"/>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26,405</w:t>
            </w:r>
          </w:p>
        </w:tc>
      </w:tr>
      <w:tr>
        <w:trPr>
          <w:trHeight w:val="213"/>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2520" w:type="dxa"/>
            <w:vAlign w:val="bottom"/>
          </w:tcPr>
          <w:p>
            <w:pPr>
              <w:ind w:left="100"/>
              <w:spacing w:after="0"/>
              <w:rPr>
                <w:sz w:val="20"/>
                <w:szCs w:val="20"/>
                <w:color w:val="auto"/>
              </w:rPr>
            </w:pPr>
            <w:r>
              <w:rPr>
                <w:rFonts w:ascii="Arial" w:cs="Arial" w:eastAsia="Arial" w:hAnsi="Arial"/>
                <w:sz w:val="18"/>
                <w:szCs w:val="18"/>
                <w:color w:val="auto"/>
              </w:rPr>
              <w:t>Basic</w:t>
            </w:r>
          </w:p>
        </w:tc>
        <w:tc>
          <w:tcPr>
            <w:tcW w:w="2760" w:type="dxa"/>
            <w:vAlign w:val="bottom"/>
            <w:gridSpan w:val="3"/>
          </w:tcPr>
          <w:p>
            <w:pPr>
              <w:ind w:left="2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0.64</w:t>
            </w:r>
          </w:p>
        </w:tc>
        <w:tc>
          <w:tcPr>
            <w:tcW w:w="480" w:type="dxa"/>
            <w:vAlign w:val="bottom"/>
            <w:gridSpan w:val="4"/>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3"/>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13"/>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760" w:type="dxa"/>
            <w:vAlign w:val="bottom"/>
            <w:gridSpan w:val="3"/>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2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480" w:type="dxa"/>
            <w:vAlign w:val="bottom"/>
            <w:gridSpan w:val="4"/>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113"/>
        </w:trPr>
        <w:tc>
          <w:tcPr>
            <w:tcW w:w="252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67" w:lineRule="exact"/>
        <w:rPr>
          <w:sz w:val="20"/>
          <w:szCs w:val="20"/>
          <w:color w:val="auto"/>
        </w:rPr>
      </w:pPr>
    </w:p>
    <w:p>
      <w:pPr>
        <w:ind w:left="323" w:right="340" w:hanging="323"/>
        <w:spacing w:after="0" w:line="266" w:lineRule="auto"/>
        <w:tabs>
          <w:tab w:leader="none" w:pos="3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a discrete charge to the income tax provision of $28.1 million ($0.64 per share) related to a net deferred tax asset previously recognized in connection with intercompany cost sharing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728980</wp:posOffset>
            </wp:positionV>
            <wp:extent cx="638810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3"/>
          </w:cols>
          <w:pgMar w:left="917" w:top="513" w:right="8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3920"/>
              <w:spacing w:after="0"/>
              <w:rPr>
                <w:sz w:val="20"/>
                <w:szCs w:val="20"/>
                <w:color w:val="auto"/>
              </w:rPr>
            </w:pPr>
            <w:r>
              <w:rPr>
                <w:rFonts w:ascii="Arial" w:cs="Arial" w:eastAsia="Arial" w:hAnsi="Arial"/>
                <w:sz w:val="18"/>
                <w:szCs w:val="18"/>
                <w:b w:val="1"/>
                <w:bCs w:val="1"/>
                <w:color w:val="auto"/>
              </w:rPr>
              <w:t>Subsidiaries of the Registrant</w:t>
            </w:r>
          </w:p>
        </w:tc>
        <w:tc>
          <w:tcPr>
            <w:tcW w:w="1980" w:type="dxa"/>
            <w:vAlign w:val="bottom"/>
          </w:tcPr>
          <w:p>
            <w:pPr>
              <w:spacing w:after="0"/>
              <w:rPr>
                <w:sz w:val="19"/>
                <w:szCs w:val="19"/>
                <w:color w:val="auto"/>
              </w:rPr>
            </w:pPr>
          </w:p>
        </w:tc>
      </w:tr>
      <w:tr>
        <w:trPr>
          <w:trHeight w:val="440"/>
        </w:trPr>
        <w:tc>
          <w:tcPr>
            <w:tcW w:w="808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Organized Under Law Of</w:t>
            </w:r>
          </w:p>
        </w:tc>
      </w:tr>
      <w:tr>
        <w:trPr>
          <w:trHeight w:val="206"/>
        </w:trPr>
        <w:tc>
          <w:tcPr>
            <w:tcW w:w="80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Silicon Laboratories Australia Pty Ltd.</w:t>
            </w:r>
          </w:p>
        </w:tc>
        <w:tc>
          <w:tcPr>
            <w:tcW w:w="1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Australia</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Laboratories Canada ULC</w:t>
            </w:r>
          </w:p>
        </w:tc>
        <w:tc>
          <w:tcPr>
            <w:tcW w:w="1980" w:type="dxa"/>
            <w:vAlign w:val="bottom"/>
          </w:tcPr>
          <w:p>
            <w:pPr>
              <w:spacing w:after="0"/>
              <w:rPr>
                <w:sz w:val="20"/>
                <w:szCs w:val="20"/>
                <w:color w:val="auto"/>
              </w:rPr>
            </w:pPr>
            <w:r>
              <w:rPr>
                <w:rFonts w:ascii="Arial" w:cs="Arial" w:eastAsia="Arial" w:hAnsi="Arial"/>
                <w:sz w:val="18"/>
                <w:szCs w:val="18"/>
                <w:color w:val="auto"/>
              </w:rPr>
              <w:t>Canada</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Shenzhen Silicon Laboratories Technology Co. Ltd.</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Laboratories Denmark Aps</w:t>
            </w:r>
          </w:p>
        </w:tc>
        <w:tc>
          <w:tcPr>
            <w:tcW w:w="1980" w:type="dxa"/>
            <w:vAlign w:val="bottom"/>
          </w:tcPr>
          <w:p>
            <w:pPr>
              <w:spacing w:after="0"/>
              <w:rPr>
                <w:sz w:val="20"/>
                <w:szCs w:val="20"/>
                <w:color w:val="auto"/>
              </w:rPr>
            </w:pPr>
            <w:r>
              <w:rPr>
                <w:rFonts w:ascii="Arial" w:cs="Arial" w:eastAsia="Arial" w:hAnsi="Arial"/>
                <w:sz w:val="18"/>
                <w:szCs w:val="18"/>
                <w:color w:val="auto"/>
              </w:rPr>
              <w:t>Denmark</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Finland Oy</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Laboratories France SAS</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GmbH</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Laboratories Asia Pacific, Limited</w:t>
            </w:r>
          </w:p>
        </w:tc>
        <w:tc>
          <w:tcPr>
            <w:tcW w:w="1980" w:type="dxa"/>
            <w:vAlign w:val="bottom"/>
          </w:tcPr>
          <w:p>
            <w:pPr>
              <w:spacing w:after="0"/>
              <w:rPr>
                <w:sz w:val="20"/>
                <w:szCs w:val="20"/>
                <w:color w:val="auto"/>
              </w:rPr>
            </w:pPr>
            <w:r>
              <w:rPr>
                <w:rFonts w:ascii="Arial" w:cs="Arial" w:eastAsia="Arial" w:hAnsi="Arial"/>
                <w:sz w:val="18"/>
                <w:szCs w:val="18"/>
                <w:color w:val="auto"/>
              </w:rPr>
              <w:t>Hong Kong</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Hungary Korlátolt Felelősségű Társaság</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Laboratories Semiconductors India Private Limited</w:t>
            </w:r>
          </w:p>
        </w:tc>
        <w:tc>
          <w:tcPr>
            <w:tcW w:w="1980" w:type="dxa"/>
            <w:vAlign w:val="bottom"/>
          </w:tcPr>
          <w:p>
            <w:pPr>
              <w:spacing w:after="0"/>
              <w:rPr>
                <w:sz w:val="20"/>
                <w:szCs w:val="20"/>
                <w:color w:val="auto"/>
              </w:rPr>
            </w:pPr>
            <w:r>
              <w:rPr>
                <w:rFonts w:ascii="Arial" w:cs="Arial" w:eastAsia="Arial" w:hAnsi="Arial"/>
                <w:sz w:val="18"/>
                <w:szCs w:val="18"/>
                <w:color w:val="auto"/>
              </w:rPr>
              <w:t>India</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Italy, S.r.l.</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Laboratories Y.K.</w:t>
            </w:r>
          </w:p>
        </w:tc>
        <w:tc>
          <w:tcPr>
            <w:tcW w:w="1980" w:type="dxa"/>
            <w:vAlign w:val="bottom"/>
          </w:tcPr>
          <w:p>
            <w:pPr>
              <w:spacing w:after="0"/>
              <w:rPr>
                <w:sz w:val="20"/>
                <w:szCs w:val="20"/>
                <w:color w:val="auto"/>
              </w:rPr>
            </w:pPr>
            <w:r>
              <w:rPr>
                <w:rFonts w:ascii="Arial" w:cs="Arial" w:eastAsia="Arial" w:hAnsi="Arial"/>
                <w:sz w:val="18"/>
                <w:szCs w:val="18"/>
                <w:color w:val="auto"/>
              </w:rPr>
              <w:t>Japan</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Norway AS</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Norway</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Laboratories International Pte. Ltd.</w:t>
            </w:r>
          </w:p>
        </w:tc>
        <w:tc>
          <w:tcPr>
            <w:tcW w:w="19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Silicon Laboratories UK Limited</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13"/>
        </w:trPr>
        <w:tc>
          <w:tcPr>
            <w:tcW w:w="8080" w:type="dxa"/>
            <w:vAlign w:val="bottom"/>
          </w:tcPr>
          <w:p>
            <w:pPr>
              <w:spacing w:after="0"/>
              <w:rPr>
                <w:sz w:val="20"/>
                <w:szCs w:val="20"/>
                <w:color w:val="auto"/>
              </w:rPr>
            </w:pPr>
            <w:r>
              <w:rPr>
                <w:rFonts w:ascii="Arial" w:cs="Arial" w:eastAsia="Arial" w:hAnsi="Arial"/>
                <w:sz w:val="18"/>
                <w:szCs w:val="18"/>
                <w:color w:val="auto"/>
              </w:rPr>
              <w:t>Silicon Labs Spectra, Inc.</w:t>
            </w:r>
          </w:p>
        </w:tc>
        <w:tc>
          <w:tcPr>
            <w:tcW w:w="1980" w:type="dxa"/>
            <w:vAlign w:val="bottom"/>
          </w:tcPr>
          <w:p>
            <w:pPr>
              <w:spacing w:after="0"/>
              <w:rPr>
                <w:sz w:val="20"/>
                <w:szCs w:val="20"/>
                <w:color w:val="auto"/>
              </w:rPr>
            </w:pPr>
            <w:r>
              <w:rPr>
                <w:rFonts w:ascii="Arial" w:cs="Arial" w:eastAsia="Arial" w:hAnsi="Arial"/>
                <w:sz w:val="18"/>
                <w:szCs w:val="18"/>
                <w:color w:val="auto"/>
              </w:rPr>
              <w:t>State of California</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Zentri, Inc.</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State of Delaware</w:t>
            </w:r>
          </w:p>
        </w:tc>
      </w:tr>
      <w:tr>
        <w:trPr>
          <w:trHeight w:val="213"/>
        </w:trPr>
        <w:tc>
          <w:tcPr>
            <w:tcW w:w="8080" w:type="dxa"/>
            <w:vAlign w:val="bottom"/>
          </w:tcPr>
          <w:p>
            <w:pPr>
              <w:spacing w:after="0" w:line="207" w:lineRule="exact"/>
              <w:rPr>
                <w:sz w:val="20"/>
                <w:szCs w:val="20"/>
                <w:color w:val="auto"/>
              </w:rPr>
            </w:pPr>
            <w:r>
              <w:rPr>
                <w:rFonts w:ascii="Arial" w:cs="Arial" w:eastAsia="Arial" w:hAnsi="Arial"/>
                <w:sz w:val="18"/>
                <w:szCs w:val="18"/>
                <w:color w:val="auto"/>
              </w:rPr>
              <w:t>Z</w:t>
            </w:r>
            <w:r>
              <w:rPr>
                <w:rFonts w:ascii="MS PGothic" w:cs="MS PGothic" w:eastAsia="MS PGothic" w:hAnsi="MS PGothic"/>
                <w:sz w:val="18"/>
                <w:szCs w:val="18"/>
                <w:color w:val="auto"/>
              </w:rPr>
              <w:t>‑</w:t>
            </w:r>
            <w:r>
              <w:rPr>
                <w:rFonts w:ascii="Arial" w:cs="Arial" w:eastAsia="Arial" w:hAnsi="Arial"/>
                <w:sz w:val="18"/>
                <w:szCs w:val="18"/>
                <w:color w:val="auto"/>
              </w:rPr>
              <w:t>Wave Alliance, LLC.</w:t>
            </w:r>
          </w:p>
        </w:tc>
        <w:tc>
          <w:tcPr>
            <w:tcW w:w="1980" w:type="dxa"/>
            <w:vAlign w:val="bottom"/>
          </w:tcPr>
          <w:p>
            <w:pPr>
              <w:spacing w:after="0"/>
              <w:rPr>
                <w:sz w:val="20"/>
                <w:szCs w:val="20"/>
                <w:color w:val="auto"/>
              </w:rPr>
            </w:pPr>
            <w:r>
              <w:rPr>
                <w:rFonts w:ascii="Arial" w:cs="Arial" w:eastAsia="Arial" w:hAnsi="Arial"/>
                <w:sz w:val="18"/>
                <w:szCs w:val="18"/>
                <w:color w:val="auto"/>
              </w:rPr>
              <w:t>State of Delaware</w:t>
            </w:r>
          </w:p>
        </w:tc>
      </w:tr>
      <w:tr>
        <w:trPr>
          <w:trHeight w:val="213"/>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Micrium LLC</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State of Florida</w:t>
            </w:r>
          </w:p>
        </w:tc>
      </w:tr>
      <w:tr>
        <w:trPr>
          <w:trHeight w:val="764"/>
        </w:trPr>
        <w:tc>
          <w:tcPr>
            <w:tcW w:w="80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121" w:right="8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ind w:right="140" w:firstLine="638"/>
        <w:spacing w:after="0" w:line="215" w:lineRule="exact"/>
        <w:rPr>
          <w:sz w:val="20"/>
          <w:szCs w:val="20"/>
          <w:color w:val="auto"/>
        </w:rPr>
      </w:pPr>
      <w:r>
        <w:rPr>
          <w:rFonts w:ascii="Arial" w:cs="Arial" w:eastAsia="Arial" w:hAnsi="Arial"/>
          <w:sz w:val="16"/>
          <w:szCs w:val="16"/>
          <w:color w:val="auto"/>
        </w:rPr>
        <w:t>We consent to the incorporation by reference in the Registration Statements (Form S</w:t>
      </w:r>
      <w:r>
        <w:rPr>
          <w:rFonts w:ascii="MS PGothic" w:cs="MS PGothic" w:eastAsia="MS PGothic" w:hAnsi="MS PGothic"/>
          <w:sz w:val="16"/>
          <w:szCs w:val="16"/>
          <w:color w:val="auto"/>
        </w:rPr>
        <w:t>‑</w:t>
      </w:r>
      <w:r>
        <w:rPr>
          <w:rFonts w:ascii="Arial" w:cs="Arial" w:eastAsia="Arial" w:hAnsi="Arial"/>
          <w:sz w:val="16"/>
          <w:szCs w:val="16"/>
          <w:color w:val="auto"/>
        </w:rPr>
        <w:t>8 Nos. 333</w:t>
      </w:r>
      <w:r>
        <w:rPr>
          <w:rFonts w:ascii="MS PGothic" w:cs="MS PGothic" w:eastAsia="MS PGothic" w:hAnsi="MS PGothic"/>
          <w:sz w:val="16"/>
          <w:szCs w:val="16"/>
          <w:color w:val="auto"/>
        </w:rPr>
        <w:t>‑</w:t>
      </w:r>
      <w:r>
        <w:rPr>
          <w:rFonts w:ascii="Arial" w:cs="Arial" w:eastAsia="Arial" w:hAnsi="Arial"/>
          <w:sz w:val="16"/>
          <w:szCs w:val="16"/>
          <w:color w:val="auto"/>
        </w:rPr>
        <w:t>39528, 333</w:t>
      </w:r>
      <w:r>
        <w:rPr>
          <w:rFonts w:ascii="MS PGothic" w:cs="MS PGothic" w:eastAsia="MS PGothic" w:hAnsi="MS PGothic"/>
          <w:sz w:val="16"/>
          <w:szCs w:val="16"/>
          <w:color w:val="auto"/>
        </w:rPr>
        <w:t>‑</w:t>
      </w:r>
      <w:r>
        <w:rPr>
          <w:rFonts w:ascii="Arial" w:cs="Arial" w:eastAsia="Arial" w:hAnsi="Arial"/>
          <w:sz w:val="16"/>
          <w:szCs w:val="16"/>
          <w:color w:val="auto"/>
        </w:rPr>
        <w:t>45682, 333</w:t>
      </w:r>
      <w:r>
        <w:rPr>
          <w:rFonts w:ascii="MS PGothic" w:cs="MS PGothic" w:eastAsia="MS PGothic" w:hAnsi="MS PGothic"/>
          <w:sz w:val="16"/>
          <w:szCs w:val="16"/>
          <w:color w:val="auto"/>
        </w:rPr>
        <w:t>‑</w:t>
      </w:r>
      <w:r>
        <w:rPr>
          <w:rFonts w:ascii="Arial" w:cs="Arial" w:eastAsia="Arial" w:hAnsi="Arial"/>
          <w:sz w:val="16"/>
          <w:szCs w:val="16"/>
          <w:color w:val="auto"/>
        </w:rPr>
        <w:t>60794, 333</w:t>
      </w:r>
      <w:r>
        <w:rPr>
          <w:rFonts w:ascii="MS PGothic" w:cs="MS PGothic" w:eastAsia="MS PGothic" w:hAnsi="MS PGothic"/>
          <w:sz w:val="16"/>
          <w:szCs w:val="16"/>
          <w:color w:val="auto"/>
        </w:rPr>
        <w:t>‑</w:t>
      </w:r>
      <w:r>
        <w:rPr>
          <w:rFonts w:ascii="Arial" w:cs="Arial" w:eastAsia="Arial" w:hAnsi="Arial"/>
          <w:sz w:val="16"/>
          <w:szCs w:val="16"/>
          <w:color w:val="auto"/>
        </w:rPr>
        <w:t>83844, 333</w:t>
      </w:r>
      <w:r>
        <w:rPr>
          <w:rFonts w:ascii="MS PGothic" w:cs="MS PGothic" w:eastAsia="MS PGothic" w:hAnsi="MS PGothic"/>
          <w:sz w:val="16"/>
          <w:szCs w:val="16"/>
          <w:color w:val="auto"/>
        </w:rPr>
        <w:t>‑</w:t>
      </w:r>
      <w:r>
        <w:rPr>
          <w:rFonts w:ascii="Arial" w:cs="Arial" w:eastAsia="Arial" w:hAnsi="Arial"/>
          <w:sz w:val="16"/>
          <w:szCs w:val="16"/>
          <w:color w:val="auto"/>
        </w:rPr>
        <w:t>104771, 333</w:t>
      </w:r>
      <w:r>
        <w:rPr>
          <w:rFonts w:ascii="MS PGothic" w:cs="MS PGothic" w:eastAsia="MS PGothic" w:hAnsi="MS PGothic"/>
          <w:sz w:val="16"/>
          <w:szCs w:val="16"/>
          <w:color w:val="auto"/>
        </w:rPr>
        <w:t>‑</w:t>
      </w:r>
      <w:r>
        <w:rPr>
          <w:rFonts w:ascii="Arial" w:cs="Arial" w:eastAsia="Arial" w:hAnsi="Arial"/>
          <w:sz w:val="16"/>
          <w:szCs w:val="16"/>
          <w:color w:val="auto"/>
        </w:rPr>
        <w:t>112324, 333</w:t>
      </w:r>
      <w:r>
        <w:rPr>
          <w:rFonts w:ascii="MS PGothic" w:cs="MS PGothic" w:eastAsia="MS PGothic" w:hAnsi="MS PGothic"/>
          <w:sz w:val="16"/>
          <w:szCs w:val="16"/>
          <w:color w:val="auto"/>
        </w:rPr>
        <w:t>‑</w:t>
      </w:r>
      <w:r>
        <w:rPr>
          <w:rFonts w:ascii="Arial" w:cs="Arial" w:eastAsia="Arial" w:hAnsi="Arial"/>
          <w:sz w:val="16"/>
          <w:szCs w:val="16"/>
          <w:color w:val="auto"/>
        </w:rPr>
        <w:t>122845, 333</w:t>
      </w:r>
      <w:r>
        <w:rPr>
          <w:rFonts w:ascii="MS PGothic" w:cs="MS PGothic" w:eastAsia="MS PGothic" w:hAnsi="MS PGothic"/>
          <w:sz w:val="16"/>
          <w:szCs w:val="16"/>
          <w:color w:val="auto"/>
        </w:rPr>
        <w:t>‑</w:t>
      </w:r>
      <w:r>
        <w:rPr>
          <w:rFonts w:ascii="Arial" w:cs="Arial" w:eastAsia="Arial" w:hAnsi="Arial"/>
          <w:sz w:val="16"/>
          <w:szCs w:val="16"/>
          <w:color w:val="auto"/>
        </w:rPr>
        <w:t>131700, 333</w:t>
      </w:r>
      <w:r>
        <w:rPr>
          <w:rFonts w:ascii="MS PGothic" w:cs="MS PGothic" w:eastAsia="MS PGothic" w:hAnsi="MS PGothic"/>
          <w:sz w:val="16"/>
          <w:szCs w:val="16"/>
          <w:color w:val="auto"/>
        </w:rPr>
        <w:t>‑</w:t>
      </w:r>
      <w:r>
        <w:rPr>
          <w:rFonts w:ascii="Arial" w:cs="Arial" w:eastAsia="Arial" w:hAnsi="Arial"/>
          <w:sz w:val="16"/>
          <w:szCs w:val="16"/>
          <w:color w:val="auto"/>
        </w:rPr>
        <w:t>140862, 333</w:t>
      </w:r>
      <w:r>
        <w:rPr>
          <w:rFonts w:ascii="MS PGothic" w:cs="MS PGothic" w:eastAsia="MS PGothic" w:hAnsi="MS PGothic"/>
          <w:sz w:val="16"/>
          <w:szCs w:val="16"/>
          <w:color w:val="auto"/>
        </w:rPr>
        <w:t>‑</w:t>
      </w:r>
      <w:r>
        <w:rPr>
          <w:rFonts w:ascii="Arial" w:cs="Arial" w:eastAsia="Arial" w:hAnsi="Arial"/>
          <w:sz w:val="16"/>
          <w:szCs w:val="16"/>
          <w:color w:val="auto"/>
        </w:rPr>
        <w:t>149104, 333</w:t>
      </w:r>
      <w:r>
        <w:rPr>
          <w:rFonts w:ascii="MS PGothic" w:cs="MS PGothic" w:eastAsia="MS PGothic" w:hAnsi="MS PGothic"/>
          <w:sz w:val="16"/>
          <w:szCs w:val="16"/>
          <w:color w:val="auto"/>
        </w:rPr>
        <w:t>‑</w:t>
      </w:r>
      <w:r>
        <w:rPr>
          <w:rFonts w:ascii="Arial" w:cs="Arial" w:eastAsia="Arial" w:hAnsi="Arial"/>
          <w:sz w:val="16"/>
          <w:szCs w:val="16"/>
          <w:color w:val="auto"/>
        </w:rPr>
        <w:t>158938, 333</w:t>
      </w:r>
      <w:r>
        <w:rPr>
          <w:rFonts w:ascii="MS PGothic" w:cs="MS PGothic" w:eastAsia="MS PGothic" w:hAnsi="MS PGothic"/>
          <w:sz w:val="16"/>
          <w:szCs w:val="16"/>
          <w:color w:val="auto"/>
        </w:rPr>
        <w:t>‑</w:t>
      </w:r>
      <w:r>
        <w:rPr>
          <w:rFonts w:ascii="Arial" w:cs="Arial" w:eastAsia="Arial" w:hAnsi="Arial"/>
          <w:sz w:val="16"/>
          <w:szCs w:val="16"/>
          <w:color w:val="auto"/>
        </w:rPr>
        <w:t>195558, and 333</w:t>
      </w:r>
      <w:r>
        <w:rPr>
          <w:rFonts w:ascii="MS PGothic" w:cs="MS PGothic" w:eastAsia="MS PGothic" w:hAnsi="MS PGothic"/>
          <w:sz w:val="16"/>
          <w:szCs w:val="16"/>
          <w:color w:val="auto"/>
        </w:rPr>
        <w:t>‑</w:t>
      </w:r>
      <w:r>
        <w:rPr>
          <w:rFonts w:ascii="Arial" w:cs="Arial" w:eastAsia="Arial" w:hAnsi="Arial"/>
          <w:sz w:val="16"/>
          <w:szCs w:val="16"/>
          <w:color w:val="auto"/>
        </w:rPr>
        <w:t>219454) pertaining to the stock incentive and employee stock purchase plans of Silicon Laboratories Inc. of our reports dated January 29, 2020, with respect to the consolidated financial statements of Silicon Laboratories Inc., and the effectiveness of internal control over financial reporting of Silicon Laboratories Inc., included in this Annual Report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28,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January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638810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0"/>
          </w:cols>
          <w:pgMar w:left="920" w:top="121" w:right="8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ind w:left="920" w:right="2520"/>
        <w:spacing w:after="0" w:line="219" w:lineRule="exact"/>
        <w:rPr>
          <w:sz w:val="20"/>
          <w:szCs w:val="20"/>
          <w:color w:val="auto"/>
        </w:rPr>
      </w:pPr>
      <w:r>
        <w:rPr>
          <w:rFonts w:ascii="Arial" w:cs="Arial" w:eastAsia="Arial" w:hAnsi="Arial"/>
          <w:sz w:val="18"/>
          <w:szCs w:val="18"/>
          <w:b w:val="1"/>
          <w:bCs w:val="1"/>
          <w:color w:val="auto"/>
        </w:rPr>
        <w:t>Certification to the Securities and Exchange Commission by Registrant’s Chief Executive Officer, as required by 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color w:val="auto"/>
        </w:rPr>
        <w:t>I, G. Tyson Tuttle, certify that:</w:t>
      </w:r>
    </w:p>
    <w:p>
      <w:pPr>
        <w:spacing w:after="0" w:line="192" w:lineRule="exact"/>
        <w:rPr>
          <w:sz w:val="20"/>
          <w:szCs w:val="20"/>
          <w:color w:val="auto"/>
        </w:rPr>
      </w:pPr>
    </w:p>
    <w:p>
      <w:pPr>
        <w:ind w:left="622" w:hanging="622"/>
        <w:spacing w:after="0" w:line="207" w:lineRule="exact"/>
        <w:tabs>
          <w:tab w:leader="none" w:pos="6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K of Silicon Laboratories Inc.;</w:t>
      </w:r>
    </w:p>
    <w:p>
      <w:pPr>
        <w:spacing w:after="0" w:line="178" w:lineRule="exact"/>
        <w:rPr>
          <w:rFonts w:ascii="Arial" w:cs="Arial" w:eastAsia="Arial" w:hAnsi="Arial"/>
          <w:sz w:val="18"/>
          <w:szCs w:val="18"/>
          <w:color w:val="auto"/>
        </w:rPr>
      </w:pPr>
    </w:p>
    <w:p>
      <w:pPr>
        <w:ind w:left="642" w:right="20" w:hanging="642"/>
        <w:spacing w:after="0" w:line="256" w:lineRule="auto"/>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642" w:right="80" w:hanging="642"/>
        <w:spacing w:after="0" w:line="256" w:lineRule="auto"/>
        <w:tabs>
          <w:tab w:leader="none" w:pos="6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8"/>
          <w:szCs w:val="18"/>
          <w:color w:val="auto"/>
        </w:rPr>
      </w:pPr>
    </w:p>
    <w:p>
      <w:pPr>
        <w:ind w:left="642" w:right="180" w:hanging="642"/>
        <w:spacing w:after="0" w:line="216" w:lineRule="exact"/>
        <w:tabs>
          <w:tab w:leader="none" w:pos="6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63" w:lineRule="exact"/>
        <w:rPr>
          <w:rFonts w:ascii="Arial" w:cs="Arial" w:eastAsia="Arial" w:hAnsi="Arial"/>
          <w:sz w:val="18"/>
          <w:szCs w:val="18"/>
          <w:color w:val="auto"/>
        </w:rPr>
      </w:pPr>
    </w:p>
    <w:p>
      <w:pPr>
        <w:ind w:left="1282" w:right="140" w:hanging="644"/>
        <w:spacing w:after="0" w:line="303" w:lineRule="auto"/>
        <w:tabs>
          <w:tab w:leader="none" w:pos="126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6"/>
          <w:szCs w:val="16"/>
          <w:color w:val="auto"/>
        </w:rPr>
      </w:pPr>
    </w:p>
    <w:p>
      <w:pPr>
        <w:ind w:left="1282" w:right="420" w:hanging="644"/>
        <w:spacing w:after="0" w:line="303" w:lineRule="auto"/>
        <w:tabs>
          <w:tab w:leader="none" w:pos="127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6"/>
          <w:szCs w:val="16"/>
          <w:color w:val="auto"/>
        </w:rPr>
      </w:pPr>
    </w:p>
    <w:p>
      <w:pPr>
        <w:ind w:left="1282" w:right="300" w:hanging="644"/>
        <w:spacing w:after="0" w:line="256" w:lineRule="auto"/>
        <w:tabs>
          <w:tab w:leader="none" w:pos="1269"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ind w:left="1282" w:right="100" w:hanging="644"/>
        <w:spacing w:after="0" w:line="303" w:lineRule="auto"/>
        <w:tabs>
          <w:tab w:leader="none" w:pos="1279"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6"/>
          <w:szCs w:val="16"/>
          <w:color w:val="auto"/>
        </w:rPr>
      </w:pPr>
    </w:p>
    <w:p>
      <w:pPr>
        <w:ind w:left="642" w:right="40" w:hanging="642"/>
        <w:spacing w:after="0" w:line="256" w:lineRule="auto"/>
        <w:tabs>
          <w:tab w:leader="none" w:pos="6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1282" w:right="240" w:hanging="644"/>
        <w:spacing w:after="0" w:line="256" w:lineRule="auto"/>
        <w:tabs>
          <w:tab w:leader="none" w:pos="125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282" w:right="600" w:hanging="644"/>
        <w:spacing w:after="0" w:line="266" w:lineRule="auto"/>
        <w:tabs>
          <w:tab w:leader="none" w:pos="1269"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8"/>
          <w:szCs w:val="18"/>
          <w:color w:val="auto"/>
        </w:rPr>
        <w:t>Date: January 29, 2020</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18"/>
          <w:szCs w:val="18"/>
          <w:color w:val="auto"/>
        </w:rPr>
        <w:t>/s/ G. Tyson Tuttle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984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3198495" cy="8255"/>
                    </a:xfrm>
                    <a:prstGeom prst="rect">
                      <a:avLst/>
                    </a:prstGeom>
                    <a:noFill/>
                  </pic:spPr>
                </pic:pic>
              </a:graphicData>
            </a:graphic>
          </wp:anchor>
        </w:drawing>
      </w:r>
    </w:p>
    <w:p>
      <w:pPr>
        <w:spacing w:after="0" w:line="12" w:lineRule="exact"/>
        <w:rPr>
          <w:sz w:val="20"/>
          <w:szCs w:val="20"/>
          <w:color w:val="auto"/>
        </w:rPr>
      </w:pPr>
    </w:p>
    <w:p>
      <w:pPr>
        <w:ind w:left="2"/>
        <w:spacing w:after="0"/>
        <w:rPr>
          <w:sz w:val="20"/>
          <w:szCs w:val="20"/>
          <w:color w:val="auto"/>
        </w:rPr>
      </w:pPr>
      <w:r>
        <w:rPr>
          <w:rFonts w:ascii="Arial" w:cs="Arial" w:eastAsia="Arial" w:hAnsi="Arial"/>
          <w:sz w:val="18"/>
          <w:szCs w:val="18"/>
          <w:color w:val="auto"/>
        </w:rPr>
        <w:t>G. Tyson Tuttle</w:t>
      </w:r>
    </w:p>
    <w:p>
      <w:pPr>
        <w:spacing w:after="0" w:line="1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492125</wp:posOffset>
            </wp:positionV>
            <wp:extent cx="638810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2"/>
          </w:cols>
          <w:pgMar w:left="918" w:top="121" w:right="8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Certification to the Securities and Exchange Commission</w:t>
      </w:r>
    </w:p>
    <w:p>
      <w:pPr>
        <w:spacing w:after="0" w:line="23"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by Registrant’s Chief Financial Officer, as required by Section 302</w:t>
      </w:r>
    </w:p>
    <w:p>
      <w:pPr>
        <w:spacing w:after="0" w:line="6" w:lineRule="exact"/>
        <w:rPr>
          <w:sz w:val="20"/>
          <w:szCs w:val="20"/>
          <w:color w:val="auto"/>
        </w:rPr>
      </w:pPr>
    </w:p>
    <w:p>
      <w:pPr>
        <w:jc w:val="center"/>
        <w:ind w:right="-1"/>
        <w:spacing w:after="0" w:line="207" w:lineRule="exact"/>
        <w:rPr>
          <w:sz w:val="20"/>
          <w:szCs w:val="20"/>
          <w:color w:val="auto"/>
        </w:rPr>
      </w:pPr>
      <w:r>
        <w:rPr>
          <w:rFonts w:ascii="Arial" w:cs="Arial" w:eastAsia="Arial" w:hAnsi="Arial"/>
          <w:sz w:val="18"/>
          <w:szCs w:val="18"/>
          <w:b w:val="1"/>
          <w:bCs w:val="1"/>
          <w:color w:val="auto"/>
        </w:rPr>
        <w:t>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8"/>
          <w:szCs w:val="18"/>
          <w:color w:val="auto"/>
        </w:rPr>
        <w:t>I, John C. Hollister, certify that:</w:t>
      </w:r>
    </w:p>
    <w:p>
      <w:pPr>
        <w:spacing w:after="0" w:line="192" w:lineRule="exact"/>
        <w:rPr>
          <w:sz w:val="20"/>
          <w:szCs w:val="20"/>
          <w:color w:val="auto"/>
        </w:rPr>
      </w:pPr>
    </w:p>
    <w:p>
      <w:pPr>
        <w:ind w:left="622" w:hanging="622"/>
        <w:spacing w:after="0" w:line="207" w:lineRule="exact"/>
        <w:tabs>
          <w:tab w:leader="none" w:pos="6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K of Silicon Laboratories Inc.;</w:t>
      </w:r>
    </w:p>
    <w:p>
      <w:pPr>
        <w:spacing w:after="0" w:line="178" w:lineRule="exact"/>
        <w:rPr>
          <w:rFonts w:ascii="Arial" w:cs="Arial" w:eastAsia="Arial" w:hAnsi="Arial"/>
          <w:sz w:val="18"/>
          <w:szCs w:val="18"/>
          <w:color w:val="auto"/>
        </w:rPr>
      </w:pPr>
    </w:p>
    <w:p>
      <w:pPr>
        <w:ind w:left="642" w:right="20" w:hanging="642"/>
        <w:spacing w:after="0" w:line="256" w:lineRule="auto"/>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left="642" w:right="80" w:hanging="642"/>
        <w:spacing w:after="0" w:line="256" w:lineRule="auto"/>
        <w:tabs>
          <w:tab w:leader="none" w:pos="6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8"/>
          <w:szCs w:val="18"/>
          <w:color w:val="auto"/>
        </w:rPr>
      </w:pPr>
    </w:p>
    <w:p>
      <w:pPr>
        <w:ind w:left="642" w:right="180" w:hanging="642"/>
        <w:spacing w:after="0" w:line="216" w:lineRule="exact"/>
        <w:tabs>
          <w:tab w:leader="none" w:pos="6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63" w:lineRule="exact"/>
        <w:rPr>
          <w:rFonts w:ascii="Arial" w:cs="Arial" w:eastAsia="Arial" w:hAnsi="Arial"/>
          <w:sz w:val="18"/>
          <w:szCs w:val="18"/>
          <w:color w:val="auto"/>
        </w:rPr>
      </w:pPr>
    </w:p>
    <w:p>
      <w:pPr>
        <w:ind w:left="1282" w:right="140" w:hanging="644"/>
        <w:spacing w:after="0" w:line="303" w:lineRule="auto"/>
        <w:tabs>
          <w:tab w:leader="none" w:pos="1269"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6"/>
          <w:szCs w:val="16"/>
          <w:color w:val="auto"/>
        </w:rPr>
      </w:pPr>
    </w:p>
    <w:p>
      <w:pPr>
        <w:ind w:left="1282" w:right="420" w:hanging="644"/>
        <w:spacing w:after="0" w:line="303" w:lineRule="auto"/>
        <w:tabs>
          <w:tab w:leader="none" w:pos="1279"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6"/>
          <w:szCs w:val="16"/>
          <w:color w:val="auto"/>
        </w:rPr>
      </w:pPr>
    </w:p>
    <w:p>
      <w:pPr>
        <w:ind w:left="1282" w:right="300" w:hanging="644"/>
        <w:spacing w:after="0" w:line="256" w:lineRule="auto"/>
        <w:tabs>
          <w:tab w:leader="none" w:pos="1269"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Arial" w:cs="Arial" w:eastAsia="Arial" w:hAnsi="Arial"/>
          <w:sz w:val="18"/>
          <w:szCs w:val="18"/>
          <w:color w:val="auto"/>
        </w:rPr>
      </w:pPr>
    </w:p>
    <w:p>
      <w:pPr>
        <w:ind w:left="1282" w:right="100" w:hanging="644"/>
        <w:spacing w:after="0" w:line="303" w:lineRule="auto"/>
        <w:tabs>
          <w:tab w:leader="none" w:pos="1279"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6"/>
          <w:szCs w:val="16"/>
          <w:color w:val="auto"/>
        </w:rPr>
      </w:pPr>
    </w:p>
    <w:p>
      <w:pPr>
        <w:ind w:left="642" w:right="40" w:hanging="642"/>
        <w:spacing w:after="0" w:line="256" w:lineRule="auto"/>
        <w:tabs>
          <w:tab w:leader="none" w:pos="6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1282" w:right="240" w:hanging="644"/>
        <w:spacing w:after="0" w:line="256" w:lineRule="auto"/>
        <w:tabs>
          <w:tab w:leader="none" w:pos="12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8"/>
          <w:szCs w:val="18"/>
          <w:color w:val="auto"/>
        </w:rPr>
      </w:pPr>
    </w:p>
    <w:p>
      <w:pPr>
        <w:ind w:left="1282" w:right="600" w:hanging="644"/>
        <w:spacing w:after="0" w:line="266" w:lineRule="auto"/>
        <w:tabs>
          <w:tab w:leader="none" w:pos="1269"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8"/>
          <w:szCs w:val="18"/>
          <w:color w:val="auto"/>
        </w:rPr>
        <w:t>Date: January 29, 2020</w:t>
      </w:r>
    </w:p>
    <w:p>
      <w:pPr>
        <w:spacing w:after="0" w:line="218" w:lineRule="exact"/>
        <w:rPr>
          <w:sz w:val="20"/>
          <w:szCs w:val="20"/>
          <w:color w:val="auto"/>
        </w:rPr>
      </w:pPr>
    </w:p>
    <w:p>
      <w:pPr>
        <w:ind w:left="2"/>
        <w:spacing w:after="0"/>
        <w:rPr>
          <w:sz w:val="20"/>
          <w:szCs w:val="20"/>
          <w:color w:val="auto"/>
        </w:rPr>
      </w:pPr>
      <w:r>
        <w:rPr>
          <w:rFonts w:ascii="Arial" w:cs="Arial" w:eastAsia="Arial" w:hAnsi="Arial"/>
          <w:sz w:val="18"/>
          <w:szCs w:val="18"/>
          <w:color w:val="auto"/>
        </w:rPr>
        <w:t>/s/ John C.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31984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3198495" cy="8255"/>
                    </a:xfrm>
                    <a:prstGeom prst="rect">
                      <a:avLst/>
                    </a:prstGeom>
                    <a:noFill/>
                  </pic:spPr>
                </pic:pic>
              </a:graphicData>
            </a:graphic>
          </wp:anchor>
        </w:drawing>
      </w:r>
    </w:p>
    <w:p>
      <w:pPr>
        <w:spacing w:after="0" w:line="12" w:lineRule="exact"/>
        <w:rPr>
          <w:sz w:val="20"/>
          <w:szCs w:val="20"/>
          <w:color w:val="auto"/>
        </w:rPr>
      </w:pPr>
    </w:p>
    <w:p>
      <w:pPr>
        <w:ind w:left="2"/>
        <w:spacing w:after="0"/>
        <w:rPr>
          <w:sz w:val="20"/>
          <w:szCs w:val="20"/>
          <w:color w:val="auto"/>
        </w:rPr>
      </w:pPr>
      <w:r>
        <w:rPr>
          <w:rFonts w:ascii="Arial" w:cs="Arial" w:eastAsia="Arial" w:hAnsi="Arial"/>
          <w:sz w:val="18"/>
          <w:szCs w:val="18"/>
          <w:color w:val="auto"/>
        </w:rPr>
        <w:t>John C. Hollister.</w:t>
      </w:r>
    </w:p>
    <w:p>
      <w:pPr>
        <w:spacing w:after="0" w:line="1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19" w:lineRule="exact"/>
        <w:rPr>
          <w:sz w:val="20"/>
          <w:szCs w:val="20"/>
          <w:color w:val="auto"/>
        </w:rPr>
      </w:pPr>
    </w:p>
    <w:p>
      <w:pPr>
        <w:ind w:left="2"/>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492125</wp:posOffset>
            </wp:positionV>
            <wp:extent cx="638810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p>
      <w:pPr>
        <w:sectPr>
          <w:pgSz w:w="11900" w:h="16838" w:orient="portrait"/>
          <w:cols w:equalWidth="0" w:num="1">
            <w:col w:w="10082"/>
          </w:cols>
          <w:pgMar w:left="918" w:top="121" w:right="8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4" w:lineRule="exact"/>
        <w:rPr>
          <w:sz w:val="20"/>
          <w:szCs w:val="20"/>
          <w:color w:val="auto"/>
        </w:rPr>
      </w:pPr>
    </w:p>
    <w:p>
      <w:pPr>
        <w:ind w:left="640"/>
        <w:spacing w:after="0" w:line="184" w:lineRule="exact"/>
        <w:rPr>
          <w:sz w:val="20"/>
          <w:szCs w:val="20"/>
          <w:color w:val="auto"/>
        </w:rPr>
      </w:pPr>
      <w:r>
        <w:rPr>
          <w:rFonts w:ascii="Arial" w:cs="Arial" w:eastAsia="Arial" w:hAnsi="Arial"/>
          <w:sz w:val="16"/>
          <w:szCs w:val="16"/>
          <w:color w:val="auto"/>
        </w:rPr>
        <w:t>Pursuant to 18 U.S.C. § 1350, as created by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each of the undersigned officers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Silicon Laboratories Inc. (the “Company”) hereby certify that:</w:t>
      </w:r>
    </w:p>
    <w:p>
      <w:pPr>
        <w:spacing w:after="0" w:line="207" w:lineRule="exact"/>
        <w:rPr>
          <w:sz w:val="20"/>
          <w:szCs w:val="20"/>
          <w:color w:val="auto"/>
        </w:rPr>
      </w:pPr>
    </w:p>
    <w:p>
      <w:pPr>
        <w:ind w:left="640" w:right="360" w:firstLine="633"/>
        <w:spacing w:after="0" w:line="216" w:lineRule="exact"/>
        <w:tabs>
          <w:tab w:leader="none" w:pos="17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Company for the fiscal year ended December 28, 2019 as filed with the Securities and Exchange Commission (the “Report”) fully complies with the requirements of Section 13(a) or Section 15(d), as applicable, of the Securities Exchange Act of 1934; and</w:t>
      </w:r>
    </w:p>
    <w:p>
      <w:pPr>
        <w:spacing w:after="0" w:line="203" w:lineRule="exact"/>
        <w:rPr>
          <w:rFonts w:ascii="Arial" w:cs="Arial" w:eastAsia="Arial" w:hAnsi="Arial"/>
          <w:sz w:val="18"/>
          <w:szCs w:val="18"/>
          <w:color w:val="auto"/>
        </w:rPr>
      </w:pPr>
    </w:p>
    <w:p>
      <w:pPr>
        <w:ind w:left="640" w:right="100" w:firstLine="633"/>
        <w:spacing w:after="0" w:line="266" w:lineRule="auto"/>
        <w:tabs>
          <w:tab w:leader="none" w:pos="1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280" w:firstLine="638"/>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Exchange Commission or its staff upon request.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G. Tyson Tuttle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0460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 Tyson Tuttle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John C.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046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John C. Hollister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476885</wp:posOffset>
            </wp:positionV>
            <wp:extent cx="638810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6388100" cy="25400"/>
                    </a:xfrm>
                    <a:prstGeom prst="rect">
                      <a:avLst/>
                    </a:prstGeom>
                    <a:noFill/>
                  </pic:spPr>
                </pic:pic>
              </a:graphicData>
            </a:graphic>
          </wp:anchor>
        </w:drawing>
      </w:r>
    </w:p>
    <w:sectPr>
      <w:pgSz w:w="11900" w:h="16838" w:orient="portrait"/>
      <w:cols w:equalWidth="0" w:num="1">
        <w:col w:w="10080"/>
      </w:cols>
      <w:pgMar w:left="920" w:top="12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decimal"/>
      <w:start w:val="21"/>
    </w:lvl>
  </w:abstractNum>
  <w:abstractNum w:abstractNumId="34">
    <w:nsid w:val="51EAD36B"/>
    <w:multiLevelType w:val="hybridMultilevel"/>
    <w:lvl w:ilvl="0">
      <w:lvlJc w:val="left"/>
      <w:lvlText w:val="%1"/>
      <w:numFmt w:val="decimal"/>
      <w:start w:val="24"/>
    </w:lvl>
  </w:abstractNum>
  <w:abstractNum w:abstractNumId="35">
    <w:nsid w:val="2D517796"/>
    <w:multiLevelType w:val="hybridMultilevel"/>
    <w:lvl w:ilvl="0">
      <w:lvlJc w:val="left"/>
      <w:lvlText w:val="*"/>
      <w:numFmt w:val="bullet"/>
      <w:start w:val="1"/>
    </w:lvl>
    <w:lvl w:ilvl="1">
      <w:lvlJc w:val="left"/>
      <w:lvlText w:val="%2"/>
      <w:numFmt w:val="decimal"/>
      <w:start w:val="104"/>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7"/>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56" Type="http://schemas.openxmlformats.org/officeDocument/2006/relationships/hyperlink" Target="http://www.sec.gov/Archives/edgar/data/1038074/000110465917072523/a17-28213_1ex2d1.htm" TargetMode="External"/><Relationship Id="rId57" Type="http://schemas.openxmlformats.org/officeDocument/2006/relationships/hyperlink" Target="http://www.sec.gov/Archives/edgar/data/1038074/0000912057-00-008266-index.html" TargetMode="External"/><Relationship Id="rId58" Type="http://schemas.openxmlformats.org/officeDocument/2006/relationships/hyperlink" Target="http://www.sec.gov/Archives/edgar/data/1038074/000110465917004455/a17-3195_2ex3d2.htm" TargetMode="External"/><Relationship Id="rId59" Type="http://schemas.openxmlformats.org/officeDocument/2006/relationships/hyperlink" Target="http://www.sec.gov/Archives/edgar/data/1038074/0000912057-00-012321-index.html" TargetMode="External"/><Relationship Id="rId60" Type="http://schemas.openxmlformats.org/officeDocument/2006/relationships/hyperlink" Target="http://www.sec.gov/Archives/edgar/data/1038074/000119312517071609/d351959dex41.htm" TargetMode="External"/><Relationship Id="rId61" Type="http://schemas.openxmlformats.org/officeDocument/2006/relationships/hyperlink" Target="http://www.sec.gov/Archives/edgar/data/1038074/0000912057-00-001536-index.html" TargetMode="External"/><Relationship Id="rId62" Type="http://schemas.openxmlformats.org/officeDocument/2006/relationships/hyperlink" Target="http://www.sec.gov/Archives/edgar/data/1038074/000110465912053190/a12-17377_1ex10d1.htm" TargetMode="External"/><Relationship Id="rId63" Type="http://schemas.openxmlformats.org/officeDocument/2006/relationships/hyperlink" Target="http://www.sec.gov/Archives/edgar/data/1038074/000110465915054044/a15-16382_1ex10d1.htm" TargetMode="External"/><Relationship Id="rId64" Type="http://schemas.openxmlformats.org/officeDocument/2006/relationships/hyperlink" Target="http://www.sec.gov/Archives/edgar/data/1038074/000119312517058950/d342600dex101.htm" TargetMode="External"/><Relationship Id="rId65" Type="http://schemas.openxmlformats.org/officeDocument/2006/relationships/hyperlink" Target="http://www.sec.gov/Archives/edgar/data/1038074/000141057819000701/tv526850_ex10-1.htm" TargetMode="External"/><Relationship Id="rId66" Type="http://schemas.openxmlformats.org/officeDocument/2006/relationships/hyperlink" Target="http://www.sec.gov/Archives/edgar/data/1038074/000110465912053190/a12-17377_1ex10d2.htm" TargetMode="External"/><Relationship Id="rId67" Type="http://schemas.openxmlformats.org/officeDocument/2006/relationships/hyperlink" Target="http://www.sec.gov/Archives/edgar/data/1038074/000110465917046974/a17-13344_3ex10d1.htm" TargetMode="External"/><Relationship Id="rId68" Type="http://schemas.openxmlformats.org/officeDocument/2006/relationships/hyperlink" Target="http://www.sec.gov/Archives/edgar/data/1038074/000110465917046974/a17-13344_3ex10d2.htm" TargetMode="External"/><Relationship Id="rId69" Type="http://schemas.openxmlformats.org/officeDocument/2006/relationships/hyperlink" Target="http://www.sec.gov/Archives/edgar/data/1038074/000104746917000461/a2230770zex-10_7.htm" TargetMode="External"/><Relationship Id="rId70" Type="http://schemas.openxmlformats.org/officeDocument/2006/relationships/hyperlink" Target="http://www.sec.gov/Archives/edgar/data/1038074/000104746917000461/a2230770zex-10_8.htm" TargetMode="External"/><Relationship Id="rId71" Type="http://schemas.openxmlformats.org/officeDocument/2006/relationships/hyperlink" Target="http://www.sec.gov/Archives/edgar/data/1038074/000104746917000461/a2230770zex-10_9.htm" TargetMode="External"/><Relationship Id="rId72" Type="http://schemas.openxmlformats.org/officeDocument/2006/relationships/hyperlink" Target="http://www.sec.gov/Archives/edgar/data/1038074/000104746917000461/a2230770zex-10_10.htm" TargetMode="External"/><Relationship Id="rId73" Type="http://schemas.openxmlformats.org/officeDocument/2006/relationships/hyperlink" Target="http://www.sec.gov/Archives/edgar/data/1038074/000119312517071609/d351959dex101.htm" TargetMode="External"/><Relationship Id="rId76" Type="http://schemas.openxmlformats.org/officeDocument/2006/relationships/hyperlink" Target="http://www.sec.gov/Archives/edgar/data/1038074/000110465918063613/a18-37050_2ex10d1.htm" TargetMode="External"/><Relationship Id="rId77" Type="http://schemas.openxmlformats.org/officeDocument/2006/relationships/hyperlink" Target="http://www.sec.gov/Archives/edgar/data/1038074/000110465918063613/a18-37050_2ex10d2.htm" TargetMode="External"/><Relationship Id="rId78" Type="http://schemas.openxmlformats.org/officeDocument/2006/relationships/hyperlink" Target="http://www.sec.gov/Archives/edgar/data/1038074/000110465920006732/tm20566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2020-01-29T11:06:19Z</dcterms:created>
  <dcterms:modified xsi:type="dcterms:W3CDTF">2020-01-29T11:06:19Z</dcterms:modified>
</cp:coreProperties>
</file>