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SILICON LABORATORIES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000-29823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74-2793174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404"/>
        <w:spacing w:after="0"/>
        <w:rPr>
          <w:sz w:val="20"/>
          <w:szCs w:val="20"/>
          <w:color w:val="auto"/>
        </w:rPr>
      </w:pPr>
      <w:r>
        <w:rPr>
          <w:rFonts w:ascii="Times New Roman" w:cs="Times New Roman" w:eastAsia="Times New Roman" w:hAnsi="Times New Roman"/>
          <w:sz w:val="17"/>
          <w:szCs w:val="17"/>
          <w:b w:val="1"/>
          <w:bCs w:val="1"/>
          <w:color w:val="auto"/>
        </w:rPr>
        <w:t>400 West Cesar Chavez, Austin, 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78701</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416-8500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SLAB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color w:val="auto"/>
        </w:rPr>
        <w:t>As previously announced, on February 4, 2026, Silicon Laboratories Inc., a Delaware corporation (“</w:t>
      </w:r>
      <w:r>
        <w:rPr>
          <w:rFonts w:ascii="Times New Roman" w:cs="Times New Roman" w:eastAsia="Times New Roman" w:hAnsi="Times New Roman"/>
          <w:sz w:val="18"/>
          <w:szCs w:val="18"/>
          <w:b w:val="1"/>
          <w:bCs w:val="1"/>
          <w:i w:val="1"/>
          <w:iCs w:val="1"/>
          <w:color w:val="auto"/>
        </w:rPr>
        <w:t>Silicon Labs</w:t>
      </w:r>
      <w:r>
        <w:rPr>
          <w:rFonts w:ascii="Times New Roman" w:cs="Times New Roman" w:eastAsia="Times New Roman" w:hAnsi="Times New Roman"/>
          <w:sz w:val="18"/>
          <w:szCs w:val="18"/>
          <w:color w:val="auto"/>
        </w:rPr>
        <w:t>”), entered into an Agreement and Plan of Merger (as it may be amended, supplemented or modified from time to time,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Texas Instruments Incorporated, a Delaware corporation (“</w:t>
      </w:r>
      <w:r>
        <w:rPr>
          <w:rFonts w:ascii="Times New Roman" w:cs="Times New Roman" w:eastAsia="Times New Roman" w:hAnsi="Times New Roman"/>
          <w:sz w:val="18"/>
          <w:szCs w:val="18"/>
          <w:b w:val="1"/>
          <w:bCs w:val="1"/>
          <w:i w:val="1"/>
          <w:iCs w:val="1"/>
          <w:color w:val="auto"/>
        </w:rPr>
        <w:t>Texas Instruments</w:t>
      </w:r>
      <w:r>
        <w:rPr>
          <w:rFonts w:ascii="Times New Roman" w:cs="Times New Roman" w:eastAsia="Times New Roman" w:hAnsi="Times New Roman"/>
          <w:sz w:val="18"/>
          <w:szCs w:val="18"/>
          <w:color w:val="auto"/>
        </w:rPr>
        <w:t>”), and Caldwell Merger Corp., a Delaware corporation and wholly owned direct subsidiary of Texas Instruments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pursuant to which Merger Sub will merge with and into Silicon Labs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Silicon Labs surviving the Merger as a wholly owned direct subsidiary of Texas Instruments.</w:t>
      </w:r>
    </w:p>
    <w:p>
      <w:pPr>
        <w:spacing w:after="0" w:line="179"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8"/>
          <w:szCs w:val="18"/>
          <w:color w:val="auto"/>
        </w:rPr>
        <w:t>The consummation of the Merger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is subject to certain customary conditions, including the expiration of any applicable waiting period under the Hart-Scott-Rodino Antitrust Improvements Act of 1976, as amended (the “</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The waiting period under the HSR Act with respect to the Merger expired at 11:59 p.m. Eastern Time on May 22, 2026, satisfying one of the conditions to Closing.</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Closing remains subject to other customary conditions, including the receipt of certain other regulatory approvals.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Section 27A of the Securities Act of 1933, as amended, Rule 175 promulgated thereunder, Section 21E of the Securities Exchange Act of 1934, as amended, and Rule 3b-6 promulgated thereunder. Such statements include statements concerning anticipated future events and expectations that are not historical facts. Any statements about Silicon Labs’ plans, objectives, expectations, strategies, beliefs, or future performance or events constitute 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proposed transaction, including future financial and operating results,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w:t>
      </w:r>
    </w:p>
    <w:p>
      <w:pPr>
        <w:spacing w:after="0" w:line="4" w:lineRule="exact"/>
        <w:rPr>
          <w:sz w:val="20"/>
          <w:szCs w:val="20"/>
          <w:color w:val="auto"/>
        </w:rPr>
      </w:pPr>
    </w:p>
    <w:p>
      <w:pPr>
        <w:ind w:left="4" w:hanging="4"/>
        <w:spacing w:after="0" w:line="251"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consummation of the proposed transaction, including the risks that (i) the proposed transaction may not be consummated within the anticipated time period, or at all, (ii) the parties may fail to obtain other required governmental and regulatory approvals, and (iii) other conditions to the consummation of the proposed transaction under the Merger Agreement may not be satisfied; (b) the effects that any termination of the Merger Agreement may have on Silicon Labs and its business, including the risk that Silicon Labs’ stock price may decline significantly if the proposed transaction is not completed; (c) the effects that the announcement or pendency of the proposed transaction may have on Silicon Labs and its business, including the risks that as a result (i) Silicon Labs’ business, operating results or stock price may suffer, (ii) Silicon Labs’ current plans and operations may be disrupted, (iii) Silicon Labs’ ability to retain or recruit key employees may be adversely affected, (iv) Silicon Labs’ business relationships (including, customers and suppliers) may be adversely affected, or (v) Silicon Labs’ management’s or employees’ attention may be diverted from other important matters; (d) the effect of limitations that the Merger Agreement places on Silicon Labs’ ability to operate its business, return capital to stockholders or engage in alternative transactions; (e) the nature, cost and outcome of pending and future litigation and other legal proceedings, including any such proceedings related to the proposed transaction and instituted against Silicon Labs and others; (f) the risk that the proposed transaction and related transactions may involve unexpected costs, liabilities or delays; (g) other economic, business, competitive, legal, regulatory, and/or tax factors; and (h) other factors described in the reports of Silicon Labs filed with the SEC, including but not limited to the risks described in Silicon Labs’ Annual Report on Form 10-K for its fiscal year ended January 3, 2026, which was filed with the SEC on February 10, 2026, and Silicon Labs’ Quarterly Reports on Form 10-Q, and that are otherwise described or updated from time to time in Silicon Labs’ other filings with the SEC. All forward-looking statements attributable to Silicon Labs, or persons acting on Silicon Labs’ behalf, are expressly qualified in their entirety by this cautionary statement. Further, Silicon Labs disclaims any obligation to update the information in this Current Report on Form 8-K or to announce publicly the results of any revisions to any of the forward-looking statements to reflect future events or developments, except as otherwise required by law. Stockholders are cautioned not to place undue reliance on these forward-looking statements that speak only as of the date hereof.</w:t>
      </w:r>
    </w:p>
    <w:p>
      <w:pPr>
        <w:sectPr>
          <w:pgSz w:w="11900" w:h="16838" w:orient="portrait"/>
          <w:cols w:equalWidth="0" w:num="1">
            <w:col w:w="10964"/>
          </w:cols>
          <w:pgMar w:left="436" w:top="293"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SILICON LABORATORIES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Dated: 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Dean Butler</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Senior Vice President and Chief Financial Officer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2026-05-26T06:31:15Z</dcterms:created>
  <dcterms:modified xsi:type="dcterms:W3CDTF">2026-05-26T06:31:15Z</dcterms:modified>
</cp:coreProperties>
</file>