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SILICON LABORATORIES INC.</w:t>
      </w:r>
    </w:p>
    <w:p>
      <w:pPr>
        <w:spacing w:after="0" w:line="4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39"/>
          </w:cols>
          <w:pgMar w:left="320" w:top="1440" w:right="1440"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000-29823</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74-2793174</w:t>
      </w:r>
    </w:p>
    <w:p>
      <w:pPr>
        <w:spacing w:after="0" w:line="54" w:lineRule="exact"/>
        <w:rPr>
          <w:sz w:val="24"/>
          <w:szCs w:val="24"/>
          <w:color w:val="auto"/>
        </w:rPr>
      </w:pPr>
    </w:p>
    <w:p>
      <w:pPr>
        <w:sectPr>
          <w:pgSz w:w="11900" w:h="16838" w:orient="portrait"/>
          <w:cols w:equalWidth="0" w:num="3">
            <w:col w:w="4500" w:space="720"/>
            <w:col w:w="2980" w:space="720"/>
            <w:col w:w="1219"/>
          </w:cols>
          <w:pgMar w:left="320" w:top="1440" w:right="1440"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99"/>
        <w:spacing w:after="0"/>
        <w:rPr>
          <w:sz w:val="20"/>
          <w:szCs w:val="20"/>
          <w:color w:val="auto"/>
        </w:rPr>
      </w:pPr>
      <w:r>
        <w:rPr>
          <w:rFonts w:ascii="Times New Roman" w:cs="Times New Roman" w:eastAsia="Times New Roman" w:hAnsi="Times New Roman"/>
          <w:sz w:val="18"/>
          <w:szCs w:val="18"/>
          <w:color w:val="auto"/>
        </w:rPr>
        <w:t>(IRS Employer</w:t>
      </w: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60" w:space="720"/>
            <w:col w:w="1439"/>
          </w:cols>
          <w:pgMar w:left="320" w:top="1440" w:right="1440" w:bottom="1440" w:gutter="0" w:footer="0" w:header="0"/>
          <w:type w:val="continuous"/>
        </w:sectPr>
      </w:pPr>
    </w:p>
    <w:p>
      <w:pPr>
        <w:spacing w:after="0" w:line="12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400 West Cesar Chavez, Austin, TX</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78701</w:t>
      </w:r>
    </w:p>
    <w:p>
      <w:pPr>
        <w:spacing w:after="0" w:line="54" w:lineRule="exact"/>
        <w:rPr>
          <w:sz w:val="24"/>
          <w:szCs w:val="24"/>
          <w:color w:val="auto"/>
        </w:rPr>
      </w:pPr>
    </w:p>
    <w:p>
      <w:pPr>
        <w:sectPr>
          <w:pgSz w:w="11900" w:h="16838" w:orient="portrait"/>
          <w:cols w:equalWidth="0" w:num="2">
            <w:col w:w="7480" w:space="720"/>
            <w:col w:w="1939"/>
          </w:cols>
          <w:pgMar w:left="320" w:top="1440"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2099"/>
          </w:cols>
          <w:pgMar w:left="320" w:top="1440" w:right="1440" w:bottom="1440" w:gutter="0" w:footer="0" w:header="0"/>
          <w:type w:val="continuous"/>
        </w:sectPr>
      </w:pPr>
    </w:p>
    <w:p>
      <w:pPr>
        <w:spacing w:after="0" w:line="102"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Dean Butler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(512) 416-8500</w:t>
      </w:r>
    </w:p>
    <w:p>
      <w:pPr>
        <w:spacing w:after="0" w:line="108" w:lineRule="exact"/>
        <w:rPr>
          <w:sz w:val="24"/>
          <w:szCs w:val="24"/>
          <w:color w:val="auto"/>
        </w:rPr>
      </w:pPr>
    </w:p>
    <w:p>
      <w:pPr>
        <w:sectPr>
          <w:pgSz w:w="11900" w:h="16838" w:orient="portrait"/>
          <w:cols w:equalWidth="0" w:num="2">
            <w:col w:w="7140" w:space="720"/>
            <w:col w:w="2279"/>
          </w:cols>
          <w:pgMar w:left="320" w:top="1440"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2025.</w:t>
      </w:r>
    </w:p>
    <w:p>
      <w:pPr>
        <w:spacing w:after="0" w:line="23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Specialized Disclosure Report on Form SD (“Form SD”) of Silicon Laboratories Inc. (“Silicon Laboratories” or “the Company”) is presented to comply with Section 13(p) under the Securities Exchange Act of 1934, as amended, and Rule 13p-1 thereunder, for the reporting period January 1, 2025 through December 31, 2025. A copy of the “Silicon Laboratories Inc. Conflict Minerals Report” for the calendar year ended December 31, 2025 (the “Conflict Minerals Report”) is filed as Exhibit 1.01 hereto and is also available in the Investor Relations section of Silicon Laboratories’ website under “Corporate Governance” at www.silabs.com. Silicon Laboratories’ website and the information contained therein or connected thereto are not intended to be incorporated by reference into this Form SD.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is filed as Exhibit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ectPr>
          <w:pgSz w:w="11900" w:h="16838" w:orient="portrait"/>
          <w:cols w:equalWidth="0" w:num="1">
            <w:col w:w="11080"/>
          </w:cols>
          <w:pgMar w:left="320" w:top="1413" w:right="499" w:bottom="1440" w:gutter="0" w:footer="0" w:header="0"/>
        </w:sect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054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601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1280" w:space="500"/>
            <w:col w:w="9300"/>
          </w:cols>
          <w:pgMar w:left="320" w:top="1413" w:right="4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u w:val="single" w:color="auto"/>
          <w:color w:val="auto"/>
        </w:rPr>
        <w:t>Conflict Minerals Report as required by Items 1.01 and 1.02 of this Form SD.</w:t>
      </w:r>
    </w:p>
    <w:p>
      <w:pPr>
        <w:sectPr>
          <w:pgSz w:w="11900" w:h="16838" w:orient="portrait"/>
          <w:cols w:equalWidth="0" w:num="2">
            <w:col w:w="1060" w:space="720"/>
            <w:col w:w="9300"/>
          </w:cols>
          <w:pgMar w:left="320" w:top="1413" w:right="499" w:bottom="1440" w:gutter="0" w:footer="0" w:header="0"/>
          <w:type w:val="continuous"/>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SILICON LABORATORIES INC.</w:t>
            </w:r>
          </w:p>
        </w:tc>
      </w:tr>
      <w:tr>
        <w:trPr>
          <w:trHeight w:val="533"/>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28, 2026</w:t>
            </w:r>
          </w:p>
        </w:tc>
        <w:tc>
          <w:tcPr>
            <w:tcW w:w="10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Dean Butler</w:t>
            </w: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Date</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Dean Butler</w:t>
            </w:r>
          </w:p>
        </w:tc>
      </w:tr>
      <w:tr>
        <w:trPr>
          <w:trHeight w:val="257"/>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 and</w:t>
            </w:r>
          </w:p>
        </w:tc>
      </w:tr>
      <w:tr>
        <w:trPr>
          <w:trHeight w:val="256"/>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3444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line="276" w:lineRule="auto"/>
        <w:rPr>
          <w:sz w:val="20"/>
          <w:szCs w:val="20"/>
          <w:color w:val="auto"/>
        </w:rPr>
      </w:pPr>
      <w:r>
        <w:rPr>
          <w:rFonts w:ascii="Arial" w:cs="Arial" w:eastAsia="Arial" w:hAnsi="Arial"/>
          <w:sz w:val="43"/>
          <w:szCs w:val="43"/>
          <w:b w:val="1"/>
          <w:bCs w:val="1"/>
          <w:color w:val="D91E2A"/>
        </w:rPr>
        <w:t>Silicon Laboratories Inc. Conflict Minerals Report Calendar Year Ended December 31, 2025</w:t>
      </w:r>
    </w:p>
    <w:p>
      <w:pPr>
        <w:spacing w:after="0" w:line="3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Conflict Minerals Report of Silicon Laboratories Inc. (“Silicon Laboratories” or “the Company”) has been prepared to comply with Rule 13p-1 under the Securities Exchange Act of 1934, as amended (the “Rule”). The Rule requires registrants to disclose information regarding the use and origin of conflict minerals necessary for the functionality or production of products manufactured or contracted to be manufactured by such registrants. The Rule defines “conflict minerals” as cassiterite, columbite-tantalite, gold, wolframite and their derivatives, which are limited to tin, tantalum, tungsten and gold. The purpose of the Rule is to identify whether a registrant’s use of conflict minerals may have directly or indirectly financed or benefitted armed groups in the Democratic Republic of the Congo (“DRC”) or an adjoining country (collectively, “Covered Countries”).</w:t>
      </w:r>
    </w:p>
    <w:p>
      <w:pPr>
        <w:spacing w:after="0" w:line="21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For products which contain necessary conflict minerals, a registrant must conduct in good faith a reasonable country of origin inquiry (“RCOI”) designed to determine whether any of the conflict minerals originated in the Covered Countries. If, based on such inquiry, the registrant knows or has reason to believe that any of the necessary conflict minerals contained in its products originated or may have originated in a Covered Country and knows or has reason to believe that those necessary conflict minerals may not be from recycled or scrap sources, the registrant must conduct due diligence on the source and chain of custody of those conflict minerals.</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Certain of the Company’s products contain conflict minerals, including gold, tantalum, tin and/or tungsten. These minerals are necessary to the functionality of the products contracted by the Company to be manufactured. Pursuant to the Rule, the Company undertook due diligence measures on the source and chain of custody of the conflict minerals in its products that the Company had reason to believe may have originated from the Covered Countries and may not have come from recycled or scrap sources.</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describes: (a) the design of the Company’s Conflict Minerals Program; (b) the Company’s conclusion based on its RCOI; (c) the measures the Company has taken to exercise due diligence on the source and chain of custody of the conflict minerals contained in its products; and (d) the Company’s products, including information on the facilities used to process the necessary conflict minerals in those products, the country of origin of the necessary conflict minerals in those products and the Company’s efforts to determine the mine or location of origin of those conflict minerals with the greatest possible specificity.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hanging="294"/>
        <w:spacing w:after="0"/>
        <w:tabs>
          <w:tab w:leader="none" w:pos="320" w:val="left"/>
        </w:tabs>
        <w:numPr>
          <w:ilvl w:val="0"/>
          <w:numId w:val="2"/>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40"/>
          </w:cols>
          <w:pgMar w:left="320" w:top="117" w:right="339" w:bottom="1440" w:gutter="0" w:footer="0" w:header="0"/>
        </w:sectPr>
      </w:pPr>
    </w:p>
    <w:bookmarkStart w:id="4" w:name="page5"/>
    <w:bookmarkEnd w:id="4"/>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u w:val="single" w:color="auto"/>
          <w:color w:val="D91E2A"/>
        </w:rPr>
        <w:t>Part 1 – Due Diligence</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D91E2A"/>
        </w:rPr>
        <w:t>Design of Conflict Minerals Program</w:t>
      </w: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design of the Company’s conflict minerals program is in conformity with the Organisation for Economic Co-operation and Development (“OECD”) Due Diligence Guidance for Responsible Supply Chains of Minerals from Conflict-Affected and High-Risk Areas and related Supplements on Tin, Tantalum and Tungsten and on Gold (collectively, “OECD Guidance”), as it relates to the Company’s position in the minerals supply chain. Summarized below are the design components of the Company’s conflict minerals program as they relate to the five-step framework set forth in the OECD Guidance:</w:t>
      </w:r>
    </w:p>
    <w:p>
      <w:pPr>
        <w:spacing w:after="0" w:line="20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b w:val="1"/>
          <w:bCs w:val="1"/>
          <w:color w:val="D91E2A"/>
        </w:rPr>
      </w:pPr>
      <w:r>
        <w:rPr>
          <w:rFonts w:ascii="Arial" w:cs="Arial" w:eastAsia="Arial" w:hAnsi="Arial"/>
          <w:sz w:val="18"/>
          <w:szCs w:val="18"/>
          <w:b w:val="1"/>
          <w:bCs w:val="1"/>
          <w:color w:val="D91E2A"/>
        </w:rPr>
        <w:t>Establish strong company management systems.</w:t>
      </w:r>
    </w:p>
    <w:p>
      <w:pPr>
        <w:spacing w:after="0" w:line="27" w:lineRule="exact"/>
        <w:rPr>
          <w:rFonts w:ascii="Arial" w:cs="Arial" w:eastAsia="Arial" w:hAnsi="Arial"/>
          <w:sz w:val="18"/>
          <w:szCs w:val="18"/>
          <w:b w:val="1"/>
          <w:bCs w:val="1"/>
          <w:color w:val="D91E2A"/>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Adopt and commit to a supply chain policy for minerals originating from conflict-affected and high-risk areas.</w:t>
      </w:r>
    </w:p>
    <w:p>
      <w:pPr>
        <w:spacing w:after="0" w:line="8" w:lineRule="exact"/>
        <w:rPr>
          <w:rFonts w:ascii="Times New Roman" w:cs="Times New Roman" w:eastAsia="Times New Roman" w:hAnsi="Times New Roman"/>
          <w:sz w:val="18"/>
          <w:szCs w:val="18"/>
          <w:color w:val="auto"/>
        </w:rPr>
      </w:pPr>
    </w:p>
    <w:p>
      <w:pPr>
        <w:ind w:left="1960" w:right="280" w:hanging="332"/>
        <w:spacing w:after="0" w:line="249" w:lineRule="auto"/>
        <w:tabs>
          <w:tab w:leader="none" w:pos="1952"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supply chain policy requires all suppliers to maintain a conflict-free sourcing policy and to comply with the Company’s internal policy based on the OECD Guidance.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Structure internal management systems to support supply chain due diligence.</w:t>
      </w:r>
    </w:p>
    <w:p>
      <w:pPr>
        <w:spacing w:after="0" w:line="8" w:lineRule="exact"/>
        <w:rPr>
          <w:rFonts w:ascii="Times New Roman" w:cs="Times New Roman" w:eastAsia="Times New Roman" w:hAnsi="Times New Roman"/>
          <w:sz w:val="18"/>
          <w:szCs w:val="18"/>
          <w:color w:val="auto"/>
        </w:rPr>
      </w:pPr>
    </w:p>
    <w:p>
      <w:pPr>
        <w:jc w:val="both"/>
        <w:ind w:left="1960" w:right="40" w:hanging="332"/>
        <w:spacing w:after="0" w:line="264" w:lineRule="auto"/>
        <w:tabs>
          <w:tab w:leader="none" w:pos="1952" w:val="left"/>
        </w:tabs>
        <w:numPr>
          <w:ilvl w:val="2"/>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Vendors that supply the Company with products containing conflict minerals are required to complete a Responsible Minerals Initiative (“RMI”) Conflict Minerals Reporting Template (“CMRT”), a supply chain survey designed to identify the smelters, refiners and countries of origin of the conflict minerals in products the vendors supply to a customer.</w:t>
      </w:r>
    </w:p>
    <w:p>
      <w:pPr>
        <w:spacing w:after="0" w:line="2"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system of controls and transparency over the mineral supply chain.</w:t>
      </w:r>
    </w:p>
    <w:p>
      <w:pPr>
        <w:spacing w:after="0" w:line="8" w:lineRule="exact"/>
        <w:rPr>
          <w:rFonts w:ascii="Times New Roman" w:cs="Times New Roman" w:eastAsia="Times New Roman" w:hAnsi="Times New Roman"/>
          <w:sz w:val="18"/>
          <w:szCs w:val="18"/>
          <w:color w:val="auto"/>
        </w:rPr>
      </w:pPr>
    </w:p>
    <w:p>
      <w:pPr>
        <w:ind w:left="1960" w:hanging="332"/>
        <w:spacing w:after="0" w:line="250" w:lineRule="auto"/>
        <w:tabs>
          <w:tab w:leader="none" w:pos="1952"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maintains a dedicated internal system to track, analyze and approve supplier responses to supply chain surveys. The Company maintains records relating to its conflict minerals program in accordance with its record retention guidelines.</w:t>
      </w: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Strengthen Company engagement with suppliers.</w:t>
      </w:r>
    </w:p>
    <w:p>
      <w:pPr>
        <w:spacing w:after="0" w:line="8" w:lineRule="exact"/>
        <w:rPr>
          <w:rFonts w:ascii="Times New Roman" w:cs="Times New Roman" w:eastAsia="Times New Roman" w:hAnsi="Times New Roman"/>
          <w:sz w:val="18"/>
          <w:szCs w:val="18"/>
          <w:color w:val="auto"/>
        </w:rPr>
      </w:pPr>
    </w:p>
    <w:p>
      <w:pPr>
        <w:ind w:left="1960" w:right="580" w:hanging="332"/>
        <w:spacing w:after="0" w:line="249" w:lineRule="auto"/>
        <w:tabs>
          <w:tab w:leader="none" w:pos="1952"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has created an internal system of controls to ensure that both current and new suppliers report information regarding their supply chain.</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Company level grievance mechanism.</w:t>
      </w:r>
    </w:p>
    <w:p>
      <w:pPr>
        <w:spacing w:after="0" w:line="8" w:lineRule="exact"/>
        <w:rPr>
          <w:rFonts w:ascii="Times New Roman" w:cs="Times New Roman" w:eastAsia="Times New Roman" w:hAnsi="Times New Roman"/>
          <w:sz w:val="18"/>
          <w:szCs w:val="18"/>
          <w:color w:val="auto"/>
        </w:rPr>
      </w:pPr>
    </w:p>
    <w:p>
      <w:pPr>
        <w:ind w:left="1960" w:right="460" w:hanging="332"/>
        <w:spacing w:after="0" w:line="258" w:lineRule="auto"/>
        <w:tabs>
          <w:tab w:leader="none" w:pos="1952"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maintains an external reporting system for individuals to report concerns of actions (including compliance with the Company’s conflict minerals program) that may not comply with the Company’s standards, contractual, regulatory or legal requirements.</w:t>
      </w:r>
    </w:p>
    <w:p>
      <w:pPr>
        <w:spacing w:after="0" w:line="20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Arial" w:cs="Arial" w:eastAsia="Arial" w:hAnsi="Arial"/>
          <w:sz w:val="18"/>
          <w:szCs w:val="18"/>
          <w:b w:val="1"/>
          <w:bCs w:val="1"/>
          <w:color w:val="D91E2A"/>
        </w:rPr>
      </w:pPr>
      <w:r>
        <w:rPr>
          <w:rFonts w:ascii="Arial" w:cs="Arial" w:eastAsia="Arial" w:hAnsi="Arial"/>
          <w:sz w:val="18"/>
          <w:szCs w:val="18"/>
          <w:b w:val="1"/>
          <w:bCs w:val="1"/>
          <w:color w:val="D91E2A"/>
        </w:rPr>
        <w:t>Identify and assess risks in the Company’s supply chain.</w:t>
      </w:r>
    </w:p>
    <w:p>
      <w:pPr>
        <w:spacing w:after="0" w:line="27" w:lineRule="exact"/>
        <w:rPr>
          <w:rFonts w:ascii="Arial" w:cs="Arial" w:eastAsia="Arial" w:hAnsi="Arial"/>
          <w:sz w:val="18"/>
          <w:szCs w:val="18"/>
          <w:b w:val="1"/>
          <w:bCs w:val="1"/>
          <w:color w:val="D91E2A"/>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Identify risks in the supply chain as recommended in the OECD Guidance Supplements.</w:t>
      </w:r>
    </w:p>
    <w:p>
      <w:pPr>
        <w:spacing w:after="0" w:line="8" w:lineRule="exact"/>
        <w:rPr>
          <w:rFonts w:ascii="Times New Roman" w:cs="Times New Roman" w:eastAsia="Times New Roman" w:hAnsi="Times New Roman"/>
          <w:sz w:val="18"/>
          <w:szCs w:val="18"/>
          <w:color w:val="auto"/>
        </w:rPr>
      </w:pPr>
    </w:p>
    <w:p>
      <w:pPr>
        <w:ind w:left="1960" w:right="180" w:hanging="332"/>
        <w:spacing w:after="0" w:line="249" w:lineRule="auto"/>
        <w:tabs>
          <w:tab w:leader="none" w:pos="1952"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reviews the components of the products provided by its suppliers to determine if such products may contain conflict minerals.</w:t>
      </w:r>
    </w:p>
    <w:p>
      <w:pPr>
        <w:spacing w:after="0" w:line="1" w:lineRule="exact"/>
        <w:rPr>
          <w:rFonts w:ascii="Times New Roman" w:cs="Times New Roman" w:eastAsia="Times New Roman" w:hAnsi="Times New Roman"/>
          <w:sz w:val="18"/>
          <w:szCs w:val="18"/>
          <w:color w:val="auto"/>
        </w:rPr>
      </w:pPr>
    </w:p>
    <w:p>
      <w:pPr>
        <w:ind w:left="1960" w:right="180" w:hanging="332"/>
        <w:spacing w:after="0" w:line="250" w:lineRule="auto"/>
        <w:tabs>
          <w:tab w:leader="none" w:pos="1952" w:val="left"/>
        </w:tabs>
        <w:numPr>
          <w:ilvl w:val="2"/>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requests suppliers that provide products which may contain conflict minerals to complete the CMRT survey. The Company contacts vendors that do not respond to the supply chain survey by a specified date, requesting their responses. If necessary, the Company escalates its requests to management or other appropriate personnel as described in its supply chain policy.</w:t>
      </w:r>
    </w:p>
    <w:p>
      <w:pPr>
        <w:ind w:left="1300" w:right="560" w:hanging="320"/>
        <w:spacing w:after="0" w:line="265" w:lineRule="auto"/>
        <w:tabs>
          <w:tab w:leader="none" w:pos="1295" w:val="left"/>
        </w:tabs>
        <w:numPr>
          <w:ilvl w:val="1"/>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Assess risks of adverse impacts in light of the standards of the Company’s supply chain policy consistent with the due diligence recommendations in the OECD Guidance.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hanging="294"/>
        <w:spacing w:after="0"/>
        <w:tabs>
          <w:tab w:leader="none" w:pos="320" w:val="left"/>
        </w:tabs>
        <w:numPr>
          <w:ilvl w:val="0"/>
          <w:numId w:val="4"/>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20"/>
          </w:cols>
          <w:pgMar w:left="320" w:top="1440" w:right="359" w:bottom="1440" w:gutter="0" w:footer="0" w:header="0"/>
        </w:sectPr>
      </w:pPr>
    </w:p>
    <w:bookmarkStart w:id="5" w:name="page6"/>
    <w:bookmarkEnd w:id="5"/>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p>
      <w:pPr>
        <w:ind w:left="1934" w:right="320" w:hanging="332"/>
        <w:spacing w:after="0" w:line="260" w:lineRule="auto"/>
        <w:tabs>
          <w:tab w:leader="none" w:pos="1926"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reviews completed CMRT surveys for compliance with the Company’s internal policy based on the OECD Guidance.</w:t>
      </w:r>
    </w:p>
    <w:p>
      <w:pPr>
        <w:ind w:left="1934" w:right="300" w:hanging="332"/>
        <w:spacing w:after="0" w:line="264" w:lineRule="auto"/>
        <w:tabs>
          <w:tab w:leader="none" w:pos="1926" w:val="left"/>
        </w:tabs>
        <w:numPr>
          <w:ilvl w:val="2"/>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compares the smelters and refiners identified by the CMRT surveys against the list of facilities that have received a “conformant” designation from the RMI’s Responsible Minerals Assurance Process (“RMAP”).</w:t>
      </w:r>
    </w:p>
    <w:p>
      <w:pPr>
        <w:spacing w:after="0" w:line="1" w:lineRule="exact"/>
        <w:rPr>
          <w:rFonts w:ascii="Times New Roman" w:cs="Times New Roman" w:eastAsia="Times New Roman" w:hAnsi="Times New Roman"/>
          <w:sz w:val="17"/>
          <w:szCs w:val="17"/>
          <w:color w:val="auto"/>
        </w:rPr>
      </w:pPr>
    </w:p>
    <w:p>
      <w:pPr>
        <w:ind w:left="1934" w:right="40" w:hanging="332"/>
        <w:spacing w:after="0" w:line="265" w:lineRule="auto"/>
        <w:tabs>
          <w:tab w:leader="none" w:pos="1926"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assesses whether the smelters and refiners have carried out all elements of reasonable due diligence for responsible supply chains of minerals from conflict-affected and high-risk areas.</w:t>
      </w:r>
    </w:p>
    <w:p>
      <w:pPr>
        <w:spacing w:after="0" w:line="199" w:lineRule="exact"/>
        <w:rPr>
          <w:rFonts w:ascii="Times New Roman" w:cs="Times New Roman" w:eastAsia="Times New Roman" w:hAnsi="Times New Roman"/>
          <w:sz w:val="18"/>
          <w:szCs w:val="18"/>
          <w:color w:val="auto"/>
        </w:rPr>
      </w:pPr>
    </w:p>
    <w:p>
      <w:pPr>
        <w:ind w:left="614" w:hanging="308"/>
        <w:spacing w:after="0"/>
        <w:tabs>
          <w:tab w:leader="none" w:pos="614" w:val="left"/>
        </w:tabs>
        <w:numPr>
          <w:ilvl w:val="0"/>
          <w:numId w:val="5"/>
        </w:numPr>
        <w:rPr>
          <w:rFonts w:ascii="Arial" w:cs="Arial" w:eastAsia="Arial" w:hAnsi="Arial"/>
          <w:sz w:val="18"/>
          <w:szCs w:val="18"/>
          <w:b w:val="1"/>
          <w:bCs w:val="1"/>
          <w:color w:val="D91E2A"/>
        </w:rPr>
      </w:pPr>
      <w:r>
        <w:rPr>
          <w:rFonts w:ascii="Arial" w:cs="Arial" w:eastAsia="Arial" w:hAnsi="Arial"/>
          <w:sz w:val="18"/>
          <w:szCs w:val="18"/>
          <w:b w:val="1"/>
          <w:bCs w:val="1"/>
          <w:color w:val="D91E2A"/>
        </w:rPr>
        <w:t>Design and implement a strategy to respond to identified risks.</w:t>
      </w:r>
    </w:p>
    <w:p>
      <w:pPr>
        <w:spacing w:after="0" w:line="27" w:lineRule="exact"/>
        <w:rPr>
          <w:rFonts w:ascii="Arial" w:cs="Arial" w:eastAsia="Arial" w:hAnsi="Arial"/>
          <w:sz w:val="18"/>
          <w:szCs w:val="18"/>
          <w:b w:val="1"/>
          <w:bCs w:val="1"/>
          <w:color w:val="D91E2A"/>
        </w:rPr>
      </w:pPr>
    </w:p>
    <w:p>
      <w:pPr>
        <w:ind w:left="1274" w:hanging="320"/>
        <w:spacing w:after="0"/>
        <w:tabs>
          <w:tab w:leader="none" w:pos="1274"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Devise and adopt a risk management plan.</w:t>
      </w:r>
    </w:p>
    <w:p>
      <w:pPr>
        <w:spacing w:after="0" w:line="8" w:lineRule="exact"/>
        <w:rPr>
          <w:rFonts w:ascii="Times New Roman" w:cs="Times New Roman" w:eastAsia="Times New Roman" w:hAnsi="Times New Roman"/>
          <w:sz w:val="18"/>
          <w:szCs w:val="18"/>
          <w:color w:val="auto"/>
        </w:rPr>
      </w:pPr>
    </w:p>
    <w:p>
      <w:pPr>
        <w:ind w:left="1934" w:right="120" w:hanging="332"/>
        <w:spacing w:after="0" w:line="249" w:lineRule="auto"/>
        <w:tabs>
          <w:tab w:leader="none" w:pos="1926"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has adopted a risk management plan, which includes measures for risk mitigation for suppliers using smelters and refiners that have not received a conformant designation from the RMAP.</w:t>
      </w:r>
    </w:p>
    <w:p>
      <w:pPr>
        <w:spacing w:after="0" w:line="1" w:lineRule="exact"/>
        <w:rPr>
          <w:rFonts w:ascii="Times New Roman" w:cs="Times New Roman" w:eastAsia="Times New Roman" w:hAnsi="Times New Roman"/>
          <w:sz w:val="18"/>
          <w:szCs w:val="18"/>
          <w:color w:val="auto"/>
        </w:rPr>
      </w:pPr>
    </w:p>
    <w:p>
      <w:pPr>
        <w:ind w:left="1274" w:right="100" w:hanging="320"/>
        <w:spacing w:after="0" w:line="249" w:lineRule="auto"/>
        <w:tabs>
          <w:tab w:leader="none" w:pos="1269"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the risk management plan, monitor and track performance of risk mitigation efforts and report back to designated senior management.</w:t>
      </w:r>
    </w:p>
    <w:p>
      <w:pPr>
        <w:spacing w:after="0" w:line="1" w:lineRule="exact"/>
        <w:rPr>
          <w:rFonts w:ascii="Times New Roman" w:cs="Times New Roman" w:eastAsia="Times New Roman" w:hAnsi="Times New Roman"/>
          <w:sz w:val="18"/>
          <w:szCs w:val="18"/>
          <w:color w:val="auto"/>
        </w:rPr>
      </w:pPr>
    </w:p>
    <w:p>
      <w:pPr>
        <w:ind w:left="1934" w:hanging="332"/>
        <w:spacing w:after="0" w:line="250" w:lineRule="auto"/>
        <w:tabs>
          <w:tab w:leader="none" w:pos="1926"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risk mitigation efforts for smelters and refiners that have not received a conformant designation from the RMAP include: (a) reviewing the mine location; (b) requesting and reviewing Certificate of Origin documents from the supplier; (c) requesting an action plan from the supplier; and (d) performing a risk assessment with an internal management team for further consideration of risk mitigation.</w:t>
      </w:r>
    </w:p>
    <w:p>
      <w:pPr>
        <w:ind w:left="1274" w:hanging="320"/>
        <w:spacing w:after="0"/>
        <w:tabs>
          <w:tab w:leader="none" w:pos="1274"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Undertake additional fact and risk assessments for risks requiring mitigation, or after a change of circumstances.</w:t>
      </w:r>
    </w:p>
    <w:p>
      <w:pPr>
        <w:spacing w:after="0" w:line="8" w:lineRule="exact"/>
        <w:rPr>
          <w:rFonts w:ascii="Times New Roman" w:cs="Times New Roman" w:eastAsia="Times New Roman" w:hAnsi="Times New Roman"/>
          <w:sz w:val="18"/>
          <w:szCs w:val="18"/>
          <w:color w:val="auto"/>
        </w:rPr>
      </w:pPr>
    </w:p>
    <w:p>
      <w:pPr>
        <w:ind w:left="1934" w:right="380" w:hanging="332"/>
        <w:spacing w:after="0" w:line="250" w:lineRule="auto"/>
        <w:tabs>
          <w:tab w:leader="none" w:pos="1926"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conflict minerals policy includes an on-going program for both current and new suppliers. Any change in the Company’s supply chain may require that certain steps be repeated in order to prevent or mitigate adverse impacts.</w:t>
      </w:r>
    </w:p>
    <w:p>
      <w:pPr>
        <w:ind w:left="1274" w:hanging="320"/>
        <w:spacing w:after="0"/>
        <w:tabs>
          <w:tab w:leader="none" w:pos="1274"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Report findings of the supply chain risk assessment to the designated senior management of the Company.</w:t>
      </w:r>
    </w:p>
    <w:p>
      <w:pPr>
        <w:spacing w:after="0" w:line="8" w:lineRule="exact"/>
        <w:rPr>
          <w:rFonts w:ascii="Times New Roman" w:cs="Times New Roman" w:eastAsia="Times New Roman" w:hAnsi="Times New Roman"/>
          <w:sz w:val="18"/>
          <w:szCs w:val="18"/>
          <w:color w:val="auto"/>
        </w:rPr>
      </w:pPr>
    </w:p>
    <w:p>
      <w:pPr>
        <w:ind w:left="1934" w:right="80" w:hanging="332"/>
        <w:spacing w:after="0" w:line="249" w:lineRule="auto"/>
        <w:tabs>
          <w:tab w:leader="none" w:pos="1926"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reports findings from its supply chain risk assessment to its Executive Quality Council, which consists of members of the Company’s executive management.</w:t>
      </w:r>
    </w:p>
    <w:p>
      <w:pPr>
        <w:spacing w:after="0" w:line="1" w:lineRule="exact"/>
        <w:rPr>
          <w:rFonts w:ascii="Times New Roman" w:cs="Times New Roman" w:eastAsia="Times New Roman" w:hAnsi="Times New Roman"/>
          <w:sz w:val="18"/>
          <w:szCs w:val="18"/>
          <w:color w:val="auto"/>
        </w:rPr>
      </w:pPr>
    </w:p>
    <w:p>
      <w:pPr>
        <w:ind w:left="1274" w:hanging="320"/>
        <w:spacing w:after="0"/>
        <w:tabs>
          <w:tab w:leader="none" w:pos="1274" w:val="left"/>
        </w:tabs>
        <w:numPr>
          <w:ilvl w:val="1"/>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and when required by the Rule, obtain an independent private sector audit of the Company’s Conflict Minerals Report.</w:t>
      </w:r>
    </w:p>
    <w:p>
      <w:pPr>
        <w:spacing w:after="0" w:line="233" w:lineRule="exact"/>
        <w:rPr>
          <w:rFonts w:ascii="Times New Roman" w:cs="Times New Roman" w:eastAsia="Times New Roman" w:hAnsi="Times New Roman"/>
          <w:sz w:val="18"/>
          <w:szCs w:val="18"/>
          <w:color w:val="auto"/>
        </w:rPr>
      </w:pPr>
    </w:p>
    <w:p>
      <w:pPr>
        <w:ind w:left="614" w:hanging="308"/>
        <w:spacing w:after="0"/>
        <w:tabs>
          <w:tab w:leader="none" w:pos="614" w:val="left"/>
        </w:tabs>
        <w:numPr>
          <w:ilvl w:val="0"/>
          <w:numId w:val="5"/>
        </w:numPr>
        <w:rPr>
          <w:rFonts w:ascii="Arial" w:cs="Arial" w:eastAsia="Arial" w:hAnsi="Arial"/>
          <w:sz w:val="18"/>
          <w:szCs w:val="18"/>
          <w:b w:val="1"/>
          <w:bCs w:val="1"/>
          <w:color w:val="D91E2A"/>
        </w:rPr>
      </w:pPr>
      <w:r>
        <w:rPr>
          <w:rFonts w:ascii="Arial" w:cs="Arial" w:eastAsia="Arial" w:hAnsi="Arial"/>
          <w:sz w:val="18"/>
          <w:szCs w:val="18"/>
          <w:b w:val="1"/>
          <w:bCs w:val="1"/>
          <w:color w:val="D91E2A"/>
        </w:rPr>
        <w:t>Carry out independent third-party audit of supply chain due diligence at identified points in the supply chain.</w:t>
      </w:r>
    </w:p>
    <w:p>
      <w:pPr>
        <w:spacing w:after="0" w:line="27" w:lineRule="exact"/>
        <w:rPr>
          <w:rFonts w:ascii="Arial" w:cs="Arial" w:eastAsia="Arial" w:hAnsi="Arial"/>
          <w:sz w:val="18"/>
          <w:szCs w:val="18"/>
          <w:b w:val="1"/>
          <w:bCs w:val="1"/>
          <w:color w:val="D91E2A"/>
        </w:rPr>
      </w:pPr>
    </w:p>
    <w:p>
      <w:pPr>
        <w:ind w:left="1914" w:hanging="312"/>
        <w:spacing w:after="0"/>
        <w:tabs>
          <w:tab w:leader="none" w:pos="1914" w:val="left"/>
        </w:tabs>
        <w:numPr>
          <w:ilvl w:val="2"/>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supports development and implementation of due diligence practices and tools, including:</w:t>
      </w:r>
    </w:p>
    <w:p>
      <w:pPr>
        <w:spacing w:after="0" w:line="6" w:lineRule="exact"/>
        <w:rPr>
          <w:sz w:val="20"/>
          <w:szCs w:val="20"/>
          <w:color w:val="auto"/>
        </w:rPr>
      </w:pPr>
    </w:p>
    <w:p>
      <w:pPr>
        <w:ind w:left="2574" w:hanging="324"/>
        <w:spacing w:after="0"/>
        <w:tabs>
          <w:tab w:leader="none" w:pos="2574" w:val="left"/>
        </w:tabs>
        <w:numPr>
          <w:ilvl w:val="2"/>
          <w:numId w:val="6"/>
        </w:numPr>
        <w:rPr>
          <w:rFonts w:ascii="Courier New" w:cs="Courier New" w:eastAsia="Courier New" w:hAnsi="Courier New"/>
          <w:sz w:val="18"/>
          <w:szCs w:val="18"/>
          <w:color w:val="auto"/>
        </w:rPr>
      </w:pPr>
      <w:r>
        <w:rPr>
          <w:rFonts w:ascii="Arial" w:cs="Arial" w:eastAsia="Arial" w:hAnsi="Arial"/>
          <w:sz w:val="18"/>
          <w:szCs w:val="18"/>
          <w:color w:val="auto"/>
        </w:rPr>
        <w:t>The CMRT survey completed by the Company’s suppliers,</w:t>
      </w:r>
    </w:p>
    <w:p>
      <w:pPr>
        <w:spacing w:after="0" w:line="8" w:lineRule="exact"/>
        <w:rPr>
          <w:rFonts w:ascii="Courier New" w:cs="Courier New" w:eastAsia="Courier New" w:hAnsi="Courier New"/>
          <w:sz w:val="18"/>
          <w:szCs w:val="18"/>
          <w:color w:val="auto"/>
        </w:rPr>
      </w:pPr>
    </w:p>
    <w:p>
      <w:pPr>
        <w:ind w:left="2574" w:right="860" w:hanging="324"/>
        <w:spacing w:after="0" w:line="248" w:lineRule="auto"/>
        <w:tabs>
          <w:tab w:leader="none" w:pos="2571" w:val="left"/>
        </w:tabs>
        <w:numPr>
          <w:ilvl w:val="2"/>
          <w:numId w:val="6"/>
        </w:numPr>
        <w:rPr>
          <w:rFonts w:ascii="Courier New" w:cs="Courier New" w:eastAsia="Courier New" w:hAnsi="Courier New"/>
          <w:sz w:val="18"/>
          <w:szCs w:val="18"/>
          <w:color w:val="auto"/>
        </w:rPr>
      </w:pPr>
      <w:r>
        <w:rPr>
          <w:rFonts w:ascii="Arial" w:cs="Arial" w:eastAsia="Arial" w:hAnsi="Arial"/>
          <w:sz w:val="18"/>
          <w:szCs w:val="18"/>
          <w:color w:val="auto"/>
        </w:rPr>
        <w:t>The RMAP assessment process used by the Company to determine facilities that have received a conformant designation.</w:t>
      </w:r>
    </w:p>
    <w:p>
      <w:pPr>
        <w:spacing w:after="0" w:line="1" w:lineRule="exact"/>
        <w:rPr>
          <w:rFonts w:ascii="Courier New" w:cs="Courier New" w:eastAsia="Courier New" w:hAnsi="Courier New"/>
          <w:sz w:val="18"/>
          <w:szCs w:val="18"/>
          <w:color w:val="auto"/>
        </w:rPr>
      </w:pPr>
    </w:p>
    <w:p>
      <w:pPr>
        <w:ind w:left="1934" w:right="640" w:hanging="332"/>
        <w:spacing w:after="0" w:line="249" w:lineRule="auto"/>
        <w:tabs>
          <w:tab w:leader="none" w:pos="1926"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encourages all of its conflict mineral suppliers to use facilities that have received a conformant designation.</w:t>
      </w:r>
    </w:p>
    <w:p>
      <w:pPr>
        <w:spacing w:after="0" w:line="1" w:lineRule="exact"/>
        <w:rPr>
          <w:rFonts w:ascii="Times New Roman" w:cs="Times New Roman" w:eastAsia="Times New Roman" w:hAnsi="Times New Roman"/>
          <w:sz w:val="18"/>
          <w:szCs w:val="18"/>
          <w:color w:val="auto"/>
        </w:rPr>
      </w:pPr>
    </w:p>
    <w:p>
      <w:pPr>
        <w:ind w:left="1934" w:right="260" w:hanging="332"/>
        <w:spacing w:after="0" w:line="265" w:lineRule="auto"/>
        <w:tabs>
          <w:tab w:leader="none" w:pos="1926"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requests its suppliers to remove sanctioned smelters and refiners from their supply chain to ensure compliance with U.S. sanctions and the OECD Due Diligence Framework.</w:t>
      </w:r>
    </w:p>
    <w:p>
      <w:pPr>
        <w:spacing w:after="0" w:line="199" w:lineRule="exact"/>
        <w:rPr>
          <w:rFonts w:ascii="Times New Roman" w:cs="Times New Roman" w:eastAsia="Times New Roman" w:hAnsi="Times New Roman"/>
          <w:sz w:val="18"/>
          <w:szCs w:val="18"/>
          <w:color w:val="auto"/>
        </w:rPr>
      </w:pPr>
    </w:p>
    <w:p>
      <w:pPr>
        <w:ind w:left="614" w:hanging="308"/>
        <w:spacing w:after="0"/>
        <w:tabs>
          <w:tab w:leader="none" w:pos="614" w:val="left"/>
        </w:tabs>
        <w:numPr>
          <w:ilvl w:val="0"/>
          <w:numId w:val="6"/>
        </w:numPr>
        <w:rPr>
          <w:rFonts w:ascii="Arial" w:cs="Arial" w:eastAsia="Arial" w:hAnsi="Arial"/>
          <w:sz w:val="18"/>
          <w:szCs w:val="18"/>
          <w:b w:val="1"/>
          <w:bCs w:val="1"/>
          <w:color w:val="D91E2A"/>
        </w:rPr>
      </w:pPr>
      <w:r>
        <w:rPr>
          <w:rFonts w:ascii="Arial" w:cs="Arial" w:eastAsia="Arial" w:hAnsi="Arial"/>
          <w:sz w:val="18"/>
          <w:szCs w:val="18"/>
          <w:b w:val="1"/>
          <w:bCs w:val="1"/>
          <w:color w:val="D91E2A"/>
        </w:rPr>
        <w:t>Report on supply chain due diligence.</w:t>
      </w:r>
    </w:p>
    <w:p>
      <w:pPr>
        <w:spacing w:after="0" w:line="27" w:lineRule="exact"/>
        <w:rPr>
          <w:rFonts w:ascii="Arial" w:cs="Arial" w:eastAsia="Arial" w:hAnsi="Arial"/>
          <w:sz w:val="18"/>
          <w:szCs w:val="18"/>
          <w:b w:val="1"/>
          <w:bCs w:val="1"/>
          <w:color w:val="D91E2A"/>
        </w:rPr>
      </w:pPr>
    </w:p>
    <w:p>
      <w:pPr>
        <w:ind w:left="1934" w:right="520" w:hanging="332"/>
        <w:spacing w:after="0" w:line="265" w:lineRule="auto"/>
        <w:tabs>
          <w:tab w:leader="none" w:pos="1926"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publicly reports on its supply chain due diligence policies and practices in the Investor Relations section of its website at www.silabs.com.</w:t>
      </w:r>
    </w:p>
    <w:p>
      <w:pPr>
        <w:spacing w:after="0" w:line="200" w:lineRule="exact"/>
        <w:rPr>
          <w:sz w:val="20"/>
          <w:szCs w:val="20"/>
          <w:color w:val="auto"/>
        </w:rPr>
      </w:pPr>
    </w:p>
    <w:p>
      <w:pPr>
        <w:spacing w:after="0" w:line="287" w:lineRule="exact"/>
        <w:rPr>
          <w:sz w:val="20"/>
          <w:szCs w:val="20"/>
          <w:color w:val="auto"/>
        </w:rPr>
      </w:pPr>
    </w:p>
    <w:p>
      <w:pPr>
        <w:ind w:left="294" w:hanging="294"/>
        <w:spacing w:after="0"/>
        <w:tabs>
          <w:tab w:leader="none" w:pos="294" w:val="left"/>
        </w:tabs>
        <w:numPr>
          <w:ilvl w:val="0"/>
          <w:numId w:val="7"/>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14"/>
          </w:cols>
          <w:pgMar w:left="346" w:top="1440" w:right="339" w:bottom="1440" w:gutter="0" w:footer="0" w:header="0"/>
        </w:sectPr>
      </w:pPr>
    </w:p>
    <w:bookmarkStart w:id="6" w:name="page7"/>
    <w:bookmarkEnd w:id="6"/>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D91E2A"/>
        </w:rPr>
        <w:t>Conclusion Based on Reasonable Country of Origin Inquiry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Step 2 of the Company’s Conflict Minerals Program, </w:t>
      </w:r>
      <w:r>
        <w:rPr>
          <w:rFonts w:ascii="Arial" w:cs="Arial" w:eastAsia="Arial" w:hAnsi="Arial"/>
          <w:sz w:val="18"/>
          <w:szCs w:val="18"/>
          <w:i w:val="1"/>
          <w:iCs w:val="1"/>
          <w:color w:val="auto"/>
        </w:rPr>
        <w:t>Identify and assess risks in the Company’s supply chain</w:t>
      </w:r>
      <w:r>
        <w:rPr>
          <w:rFonts w:ascii="Arial" w:cs="Arial" w:eastAsia="Arial" w:hAnsi="Arial"/>
          <w:sz w:val="18"/>
          <w:szCs w:val="18"/>
          <w:color w:val="auto"/>
        </w:rPr>
        <w:t>, represents its RCOI. This step is designed to determine whether any of the conflict minerals in the Company’s products originated in the Covered Countries. Based on the results of the Company’s RCOI, the following was determined:</w:t>
      </w:r>
    </w:p>
    <w:p>
      <w:pPr>
        <w:spacing w:after="0" w:line="198" w:lineRule="exact"/>
        <w:rPr>
          <w:sz w:val="20"/>
          <w:szCs w:val="20"/>
          <w:color w:val="auto"/>
        </w:rPr>
      </w:pPr>
    </w:p>
    <w:p>
      <w:pPr>
        <w:ind w:left="660" w:right="14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 portion of the necessary conflict minerals contained in the Company’s products originated or may have originated in the Covered Countries and those necessary conflict minerals may not be solely from recycled or scrap sources. The Company performed due diligence measures on these conflict minerals.</w:t>
      </w:r>
    </w:p>
    <w:p>
      <w:pPr>
        <w:ind w:left="660" w:right="560" w:hanging="328"/>
        <w:spacing w:after="0" w:line="265" w:lineRule="auto"/>
        <w:tabs>
          <w:tab w:leader="none" w:pos="65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 portion of the necessary conflict minerals contained in the Company’s products are from recycled or scrap sources. Conflict minerals obtained from recycled or scrap sources are considered DRC conflict free pursuant to Rule 13p-1.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D91E2A"/>
        </w:rPr>
        <w:t>Description of Due Diligence Measures Performed</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Steps 3 and 4 of the Company’s Conflict Minerals Program, </w:t>
      </w:r>
      <w:r>
        <w:rPr>
          <w:rFonts w:ascii="Arial" w:cs="Arial" w:eastAsia="Arial" w:hAnsi="Arial"/>
          <w:sz w:val="18"/>
          <w:szCs w:val="18"/>
          <w:i w:val="1"/>
          <w:iCs w:val="1"/>
          <w:color w:val="auto"/>
        </w:rPr>
        <w:t>Design and implement a strategy to respond to identified risks</w:t>
      </w:r>
      <w:r>
        <w:rPr>
          <w:rFonts w:ascii="Arial" w:cs="Arial" w:eastAsia="Arial" w:hAnsi="Arial"/>
          <w:sz w:val="18"/>
          <w:szCs w:val="18"/>
          <w:color w:val="auto"/>
        </w:rPr>
        <w:t xml:space="preserve"> and </w:t>
      </w:r>
      <w:r>
        <w:rPr>
          <w:rFonts w:ascii="Arial" w:cs="Arial" w:eastAsia="Arial" w:hAnsi="Arial"/>
          <w:sz w:val="18"/>
          <w:szCs w:val="18"/>
          <w:i w:val="1"/>
          <w:iCs w:val="1"/>
          <w:color w:val="auto"/>
        </w:rPr>
        <w:t>Carry 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independent third-party audit of supply chain due diligence at identified points in the supply chain, </w:t>
      </w:r>
      <w:r>
        <w:rPr>
          <w:rFonts w:ascii="Arial" w:cs="Arial" w:eastAsia="Arial" w:hAnsi="Arial"/>
          <w:sz w:val="18"/>
          <w:szCs w:val="18"/>
          <w:color w:val="auto"/>
        </w:rPr>
        <w:t>respectively, represent the due diligence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performed by the Company. The purpose of these measures is to determine whether the necessary conflict minerals contained in the Company’s products did or did not directly or indirectly finance or benefit armed groups in the Covered Countries in order to conclude whether such products were DRC conflict free.</w:t>
      </w:r>
    </w:p>
    <w:p>
      <w:pPr>
        <w:spacing w:after="0" w:line="206"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Below is a description of the measures the Company performed to exercise due diligence on the source and chain of custody of the necessary conflict minerals contained in its products:</w:t>
      </w:r>
    </w:p>
    <w:p>
      <w:pPr>
        <w:spacing w:after="0" w:line="180" w:lineRule="exact"/>
        <w:rPr>
          <w:sz w:val="20"/>
          <w:szCs w:val="20"/>
          <w:color w:val="auto"/>
        </w:rPr>
      </w:pPr>
    </w:p>
    <w:p>
      <w:pPr>
        <w:ind w:left="1300" w:right="100" w:hanging="320"/>
        <w:spacing w:after="0" w:line="260" w:lineRule="auto"/>
        <w:tabs>
          <w:tab w:leader="none" w:pos="129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Adopted a risk management plan, which included measures for risk mitigation for suppliers using smelters and refiners that have not received an RMAP conformant designation.</w:t>
      </w:r>
    </w:p>
    <w:p>
      <w:pPr>
        <w:ind w:left="1300" w:right="480" w:hanging="320"/>
        <w:spacing w:after="0" w:line="249" w:lineRule="auto"/>
        <w:tabs>
          <w:tab w:leader="none" w:pos="129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Requested the Company’s existing and new conflict mineral suppliers to use facilities that have received a conformant designation. Suppliers that use facilities without such designation may be removed as an approved vendor.</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Monitored and tracked suppliers to ensure compliance with the Company’s Conflict Minerals Policy.</w:t>
      </w:r>
    </w:p>
    <w:p>
      <w:pPr>
        <w:spacing w:after="0" w:line="8" w:lineRule="exact"/>
        <w:rPr>
          <w:rFonts w:ascii="Times New Roman" w:cs="Times New Roman" w:eastAsia="Times New Roman" w:hAnsi="Times New Roman"/>
          <w:sz w:val="18"/>
          <w:szCs w:val="18"/>
          <w:color w:val="auto"/>
        </w:rPr>
      </w:pPr>
    </w:p>
    <w:p>
      <w:pPr>
        <w:ind w:left="1300" w:right="100" w:hanging="320"/>
        <w:spacing w:after="0" w:line="249" w:lineRule="auto"/>
        <w:tabs>
          <w:tab w:leader="none" w:pos="129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Performed risk mitigation efforts with suppliers identified not to be in conformity with the Conflict Minerals Policy by working with them to bring them into compliance.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Reported findings from the Company’s supply chain risk assessment to its Executive Quality Council.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D91E2A"/>
        </w:rPr>
        <w:t>Results of Due Diligence Measures and Product Determination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received responses from all of its direct suppliers subject to the supply chain survey for 2025. Collectively, their responses listed 235 smelters and refiners within their supply chains. The tables below list the smelters and refiners of conflict minerals that may have been used to process the necessary conflict minerals in the Company’s products in 2025. Efforts to determine this population are described above under the caption </w:t>
      </w:r>
      <w:r>
        <w:rPr>
          <w:rFonts w:ascii="Arial" w:cs="Arial" w:eastAsia="Arial" w:hAnsi="Arial"/>
          <w:sz w:val="18"/>
          <w:szCs w:val="18"/>
          <w:i w:val="1"/>
          <w:iCs w:val="1"/>
          <w:color w:val="auto"/>
        </w:rPr>
        <w:t>Description of Due Diligence Measures Performed</w:t>
      </w:r>
      <w:r>
        <w:rPr>
          <w:rFonts w:ascii="Arial" w:cs="Arial" w:eastAsia="Arial" w:hAnsi="Arial"/>
          <w:sz w:val="18"/>
          <w:szCs w:val="18"/>
          <w:color w:val="auto"/>
        </w:rPr>
        <w:t>. The information presented is derived from information provided by the Company’s direct suppliers and the RMAP.</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hanging="294"/>
        <w:spacing w:after="0"/>
        <w:tabs>
          <w:tab w:leader="none" w:pos="320" w:val="left"/>
        </w:tabs>
        <w:numPr>
          <w:ilvl w:val="0"/>
          <w:numId w:val="10"/>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160"/>
          </w:cols>
          <w:pgMar w:left="320" w:top="1440" w:right="419" w:bottom="1440" w:gutter="0" w:footer="0" w:header="0"/>
        </w:sectPr>
      </w:pPr>
    </w:p>
    <w:bookmarkStart w:id="7" w:name="page8"/>
    <w:bookmarkEnd w:id="7"/>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D91E2A"/>
        </w:rPr>
        <w:t>Inherent Limitations on Due Diligence Measures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Silicon Laboratories is a downstream company in the conflict minerals supply chain, and as such, its due diligence efforts can provide only reasonable, not absolute, assurance regarding the source and chain of custody for the necessary conflict minerals in its products. The Company has no direct relationships with smelters and refiners, and its due diligence processes are based on the necessity of seeking data from its direct suppliers, who in turn seek similar information within their supply chains. Additionally, the complete supply chain from the smelters and refiners to the Company’s final products involves a complex multi-step process that may be subject to changes without the Company’s knowledge.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D91E2A"/>
        </w:rPr>
        <w:t>Independent Private Sector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 independent private sector audit is not required for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D91E2A"/>
        </w:rPr>
        <w:t>Future Due Diligence Measures</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For the next reporting period, the Company is continuing to engage in the activities described above in </w:t>
      </w:r>
      <w:r>
        <w:rPr>
          <w:rFonts w:ascii="Arial" w:cs="Arial" w:eastAsia="Arial" w:hAnsi="Arial"/>
          <w:sz w:val="18"/>
          <w:szCs w:val="18"/>
          <w:i w:val="1"/>
          <w:iCs w:val="1"/>
          <w:color w:val="auto"/>
        </w:rPr>
        <w:t>Design of Conflict Minerals Program</w:t>
      </w:r>
      <w:r>
        <w:rPr>
          <w:rFonts w:ascii="Arial" w:cs="Arial" w:eastAsia="Arial" w:hAnsi="Arial"/>
          <w:sz w:val="18"/>
          <w:szCs w:val="18"/>
          <w:color w:val="auto"/>
        </w:rPr>
        <w:t xml:space="preserve"> to mitigate the risk that its necessary conflict minerals benefit armed groups. The Company will continue to contact suppliers that use smelters and refiners identified in its supply chain survey process that have not received a conformant designation and request their participation in the RMAP or other independent third party audit program in order for them to obtain such a conformant designation.</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D91E2A"/>
        </w:rPr>
        <w:t>Part 2 – Product Description</w:t>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D91E2A"/>
        </w:rPr>
        <w:t>Description of the Company’s products</w:t>
      </w:r>
    </w:p>
    <w:p>
      <w:pPr>
        <w:spacing w:after="0" w:line="272"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Silicon Laboratories is a leader in secure, intelligent wireless technology for a more connected world. The Company’s integrated hardware and software platform, intuitive development tools, industry leading ecosystem and robust support enable customers in building advanced industrial, commercial, home and life applications. The Company’s semiconductor devices leverage standard complementary metal oxide semiconductor (CMOS), a low cost, widely available process technology.</w:t>
      </w:r>
    </w:p>
    <w:p>
      <w:pPr>
        <w:spacing w:after="0" w:line="203"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As a fabless semiconductor company, the Company relies on third-party semiconductor fabricators to manufacture the silicon wafers that reflect its integrated circuit (“IC”) designs. Each wafer contains numerous die, which are cut from the wafer to create a chip for an IC. The Company relies on third parties to assemble, package, and, in most cases, test these devices and ship these units to its customers.</w:t>
      </w:r>
    </w:p>
    <w:p>
      <w:pPr>
        <w:spacing w:after="0" w:line="19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D91E2A"/>
        </w:rPr>
        <w:t xml:space="preserve">The following facilities, to the extent known, may have been used to process the necessary conflict minerals in the Company’s products: </w:t>
      </w:r>
      <w:r>
        <w:rPr>
          <w:rFonts w:ascii="Arial" w:cs="Arial" w:eastAsia="Arial" w:hAnsi="Arial"/>
          <w:sz w:val="23"/>
          <w:szCs w:val="23"/>
          <w:color w:val="000000"/>
          <w:vertAlign w:val="superscript"/>
        </w:rPr>
        <w:t>(1)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60" w:type="dxa"/>
            <w:vAlign w:val="bottom"/>
            <w:tcBorders>
              <w:bottom w:val="single" w:sz="8" w:color="C00000"/>
            </w:tcBorders>
          </w:tcPr>
          <w:p>
            <w:pPr>
              <w:ind w:left="80"/>
              <w:spacing w:after="0"/>
              <w:rPr>
                <w:sz w:val="20"/>
                <w:szCs w:val="20"/>
                <w:color w:val="auto"/>
              </w:rPr>
            </w:pPr>
            <w:r>
              <w:rPr>
                <w:rFonts w:ascii="Arial" w:cs="Arial" w:eastAsia="Arial" w:hAnsi="Arial"/>
                <w:sz w:val="18"/>
                <w:szCs w:val="18"/>
                <w:b w:val="1"/>
                <w:bCs w:val="1"/>
                <w:color w:val="auto"/>
              </w:rPr>
              <w:t>Metal</w:t>
            </w:r>
          </w:p>
        </w:tc>
        <w:tc>
          <w:tcPr>
            <w:tcW w:w="10180" w:type="dxa"/>
            <w:vAlign w:val="bottom"/>
            <w:tcBorders>
              <w:bottom w:val="single" w:sz="8" w:color="C00000"/>
            </w:tcBorders>
          </w:tcPr>
          <w:p>
            <w:pPr>
              <w:ind w:left="520"/>
              <w:spacing w:after="0"/>
              <w:rPr>
                <w:sz w:val="20"/>
                <w:szCs w:val="20"/>
                <w:color w:val="auto"/>
              </w:rPr>
            </w:pPr>
            <w:r>
              <w:rPr>
                <w:rFonts w:ascii="Arial" w:cs="Arial" w:eastAsia="Arial" w:hAnsi="Arial"/>
                <w:sz w:val="18"/>
                <w:szCs w:val="18"/>
                <w:b w:val="1"/>
                <w:bCs w:val="1"/>
                <w:color w:val="auto"/>
              </w:rPr>
              <w:t>Facility Name</w:t>
            </w:r>
          </w:p>
        </w:tc>
      </w:tr>
      <w:tr>
        <w:trPr>
          <w:trHeight w:val="223"/>
        </w:trPr>
        <w:tc>
          <w:tcPr>
            <w:tcW w:w="10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Abington Reldan Metals, LLC</w:t>
            </w:r>
          </w:p>
        </w:tc>
      </w:tr>
      <w:tr>
        <w:trPr>
          <w:trHeight w:val="230"/>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tcPr>
          <w:p>
            <w:pPr>
              <w:ind w:left="520"/>
              <w:spacing w:after="0"/>
              <w:rPr>
                <w:sz w:val="20"/>
                <w:szCs w:val="20"/>
                <w:color w:val="auto"/>
              </w:rPr>
            </w:pPr>
            <w:r>
              <w:rPr>
                <w:rFonts w:ascii="Arial" w:cs="Arial" w:eastAsia="Arial" w:hAnsi="Arial"/>
                <w:sz w:val="18"/>
                <w:szCs w:val="18"/>
                <w:color w:val="auto"/>
              </w:rPr>
              <w:t>Advanced Chemical Company</w:t>
            </w:r>
          </w:p>
        </w:tc>
      </w:tr>
      <w:tr>
        <w:trPr>
          <w:trHeight w:val="230"/>
        </w:trPr>
        <w:tc>
          <w:tcPr>
            <w:tcW w:w="10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Agosi AG</w:t>
            </w:r>
          </w:p>
        </w:tc>
      </w:tr>
      <w:tr>
        <w:trPr>
          <w:trHeight w:val="230"/>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tcPr>
          <w:p>
            <w:pPr>
              <w:ind w:left="520"/>
              <w:spacing w:after="0"/>
              <w:rPr>
                <w:sz w:val="20"/>
                <w:szCs w:val="20"/>
                <w:color w:val="auto"/>
              </w:rPr>
            </w:pPr>
            <w:r>
              <w:rPr>
                <w:rFonts w:ascii="Arial" w:cs="Arial" w:eastAsia="Arial" w:hAnsi="Arial"/>
                <w:sz w:val="18"/>
                <w:szCs w:val="18"/>
                <w:color w:val="auto"/>
              </w:rPr>
              <w:t>Aida Chemical Industries Co., Ltd.</w:t>
            </w:r>
          </w:p>
        </w:tc>
      </w:tr>
      <w:tr>
        <w:trPr>
          <w:trHeight w:val="229"/>
        </w:trPr>
        <w:tc>
          <w:tcPr>
            <w:tcW w:w="10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Almalyk Mining and Metallurgical Complex (AMMC)</w:t>
            </w:r>
          </w:p>
        </w:tc>
      </w:tr>
      <w:tr>
        <w:trPr>
          <w:trHeight w:val="230"/>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tcPr>
          <w:p>
            <w:pPr>
              <w:ind w:left="520"/>
              <w:spacing w:after="0"/>
              <w:rPr>
                <w:sz w:val="20"/>
                <w:szCs w:val="20"/>
                <w:color w:val="auto"/>
              </w:rPr>
            </w:pPr>
            <w:r>
              <w:rPr>
                <w:rFonts w:ascii="Arial" w:cs="Arial" w:eastAsia="Arial" w:hAnsi="Arial"/>
                <w:sz w:val="18"/>
                <w:szCs w:val="18"/>
                <w:color w:val="auto"/>
              </w:rPr>
              <w:t>AngloGold Ashanti Corrego do Sitio Mineracao</w:t>
            </w:r>
          </w:p>
        </w:tc>
      </w:tr>
      <w:tr>
        <w:trPr>
          <w:trHeight w:val="230"/>
        </w:trPr>
        <w:tc>
          <w:tcPr>
            <w:tcW w:w="10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Argor-Heraeus S.A.</w:t>
            </w:r>
          </w:p>
        </w:tc>
      </w:tr>
      <w:tr>
        <w:trPr>
          <w:trHeight w:val="247"/>
        </w:trPr>
        <w:tc>
          <w:tcPr>
            <w:tcW w:w="106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180" w:type="dxa"/>
            <w:vAlign w:val="bottom"/>
          </w:tcPr>
          <w:p>
            <w:pPr>
              <w:ind w:left="520"/>
              <w:spacing w:after="0"/>
              <w:rPr>
                <w:sz w:val="20"/>
                <w:szCs w:val="20"/>
                <w:color w:val="auto"/>
              </w:rPr>
            </w:pPr>
            <w:r>
              <w:rPr>
                <w:rFonts w:ascii="Arial" w:cs="Arial" w:eastAsia="Arial" w:hAnsi="Arial"/>
                <w:sz w:val="18"/>
                <w:szCs w:val="18"/>
                <w:color w:val="auto"/>
              </w:rPr>
              <w:t>ASAHI METALFINE, Inc.</w:t>
            </w:r>
          </w:p>
        </w:tc>
      </w:tr>
    </w:tbl>
    <w:p>
      <w:pPr>
        <w:spacing w:after="0" w:line="200" w:lineRule="exact"/>
        <w:rPr>
          <w:sz w:val="20"/>
          <w:szCs w:val="20"/>
          <w:color w:val="auto"/>
        </w:rPr>
      </w:pPr>
    </w:p>
    <w:p>
      <w:pPr>
        <w:spacing w:after="0" w:line="389" w:lineRule="exact"/>
        <w:rPr>
          <w:sz w:val="20"/>
          <w:szCs w:val="20"/>
          <w:color w:val="auto"/>
        </w:rPr>
      </w:pPr>
    </w:p>
    <w:p>
      <w:pPr>
        <w:ind w:left="320" w:hanging="294"/>
        <w:spacing w:after="0"/>
        <w:tabs>
          <w:tab w:leader="none" w:pos="320" w:val="left"/>
        </w:tabs>
        <w:numPr>
          <w:ilvl w:val="0"/>
          <w:numId w:val="11"/>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40"/>
          </w:cols>
          <w:pgMar w:left="320" w:top="1440" w:right="339" w:bottom="1440" w:gutter="0" w:footer="0" w:header="0"/>
        </w:sectPr>
      </w:pPr>
    </w:p>
    <w:bookmarkStart w:id="8" w:name="page9"/>
    <w:bookmarkEnd w:id="8"/>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Asahi Refining Canada Ltd.</w:t>
            </w:r>
          </w:p>
        </w:tc>
      </w:tr>
      <w:tr>
        <w:trPr>
          <w:trHeight w:val="229"/>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Asahi Refining USA Inc.</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Asaka Riken Co.,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Aurubis AG</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BALORE REFINERSGA</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Bangko Sentral ng Pilipinas (Central Bank of the Philippines)</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Boliden AB</w:t>
            </w:r>
          </w:p>
        </w:tc>
      </w:tr>
      <w:tr>
        <w:trPr>
          <w:trHeight w:val="229"/>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C. Hafner GmbH + Co. KG</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CCR Refinery - Glencore Canada Corporation</w:t>
            </w:r>
          </w:p>
        </w:tc>
      </w:tr>
      <w:tr>
        <w:trPr>
          <w:trHeight w:val="229"/>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Chimet S.p.A.</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China's Shandong Gold Mining Co.,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Chugai Mining</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Coimpa Industrial LTDA</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Dowa</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DSC (Do Sung Corporation)</w:t>
            </w:r>
          </w:p>
        </w:tc>
      </w:tr>
      <w:tr>
        <w:trPr>
          <w:trHeight w:val="229"/>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Eco-System Recycling Co., Ltd. East Plant</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Eco-System Recycling Co., Ltd. North Plant</w:t>
            </w:r>
          </w:p>
        </w:tc>
      </w:tr>
      <w:tr>
        <w:trPr>
          <w:trHeight w:val="229"/>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Eco-System Recycling Co., Ltd. West Plant</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Elite Industech Co.,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GG Refinery Ltd.</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Gold by Gold Colombia</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Heimerle + Meule GmbH</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Heraeus Germany GmbH Co. KG</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Heraeus Metals Hong Kong Ltd.</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Impala Platinum - Rustenburg Smelter</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Inner Mongolia Qiankun Gold and Silver Refinery Share Co., Ltd.</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Ishifuku Metal Industry Co.,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Istanbul Gold Refinery</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Italpreziosi</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Japan Mint</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Jiangxi Copper Co.,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JX Nippon Mining &amp; Metals Co., Ltd.</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Kazzinc</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Kennecott Utah Copper LLC</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KGHM Polska Miedz Spolka Akcyjna</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Kojima Chemicals Co., Ltd.</w:t>
            </w:r>
          </w:p>
        </w:tc>
      </w:tr>
      <w:tr>
        <w:trPr>
          <w:trHeight w:val="229"/>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Korea Zinc Co.,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LS MnM Inc.</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LT Metal Ltd.</w:t>
            </w:r>
          </w:p>
        </w:tc>
      </w:tr>
      <w:tr>
        <w:trPr>
          <w:trHeight w:val="230"/>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Materion</w:t>
            </w:r>
          </w:p>
        </w:tc>
      </w:tr>
      <w:tr>
        <w:trPr>
          <w:trHeight w:val="230"/>
        </w:trPr>
        <w:tc>
          <w:tcPr>
            <w:tcW w:w="104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shd w:val="clear" w:color="auto" w:fill="F2F2F2"/>
          </w:tcPr>
          <w:p>
            <w:pPr>
              <w:ind w:left="540"/>
              <w:spacing w:after="0"/>
              <w:rPr>
                <w:sz w:val="20"/>
                <w:szCs w:val="20"/>
                <w:color w:val="auto"/>
              </w:rPr>
            </w:pPr>
            <w:r>
              <w:rPr>
                <w:rFonts w:ascii="Arial" w:cs="Arial" w:eastAsia="Arial" w:hAnsi="Arial"/>
                <w:sz w:val="18"/>
                <w:szCs w:val="18"/>
                <w:color w:val="auto"/>
              </w:rPr>
              <w:t>Matsuda Sangyo Co., Ltd.</w:t>
            </w:r>
          </w:p>
        </w:tc>
      </w:tr>
      <w:tr>
        <w:trPr>
          <w:trHeight w:val="247"/>
        </w:trPr>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200" w:type="dxa"/>
            <w:vAlign w:val="bottom"/>
          </w:tcPr>
          <w:p>
            <w:pPr>
              <w:ind w:left="540"/>
              <w:spacing w:after="0"/>
              <w:rPr>
                <w:sz w:val="20"/>
                <w:szCs w:val="20"/>
                <w:color w:val="auto"/>
              </w:rPr>
            </w:pPr>
            <w:r>
              <w:rPr>
                <w:rFonts w:ascii="Arial" w:cs="Arial" w:eastAsia="Arial" w:hAnsi="Arial"/>
                <w:sz w:val="18"/>
                <w:szCs w:val="18"/>
                <w:color w:val="auto"/>
              </w:rPr>
              <w:t>Metal Concentrators SA (Pty) Ltd.</w:t>
            </w:r>
          </w:p>
        </w:tc>
      </w:tr>
    </w:tbl>
    <w:p>
      <w:pPr>
        <w:spacing w:after="0" w:line="200" w:lineRule="exact"/>
        <w:rPr>
          <w:sz w:val="20"/>
          <w:szCs w:val="20"/>
          <w:color w:val="auto"/>
        </w:rPr>
      </w:pPr>
    </w:p>
    <w:p>
      <w:pPr>
        <w:spacing w:after="0" w:line="389" w:lineRule="exact"/>
        <w:rPr>
          <w:sz w:val="20"/>
          <w:szCs w:val="20"/>
          <w:color w:val="auto"/>
        </w:rPr>
      </w:pPr>
    </w:p>
    <w:p>
      <w:pPr>
        <w:ind w:left="320" w:hanging="294"/>
        <w:spacing w:after="0"/>
        <w:tabs>
          <w:tab w:leader="none" w:pos="320" w:val="left"/>
        </w:tabs>
        <w:numPr>
          <w:ilvl w:val="0"/>
          <w:numId w:val="12"/>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40"/>
          </w:cols>
          <w:pgMar w:left="320" w:top="1440" w:right="339" w:bottom="1440" w:gutter="0" w:footer="0" w:header="0"/>
        </w:sectPr>
      </w:pPr>
    </w:p>
    <w:bookmarkStart w:id="9" w:name="page10"/>
    <w:bookmarkEnd w:id="9"/>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Metalor Technologies (Hong Kong)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Metalor Technologies (Singapore) Pte.,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Metalor Technologies (Suzhou)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Metalor Technologies S.A.</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Metalor USA Refining Corporation</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Metalurgica Met-Mex Penoles S.A. De C.V.</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Mitsubishi Materials Corporation</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Mitsui Mining and Smelting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MKS PAMP SA</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MMTC-PAMP India Pvt.,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Nadir Metal Rafineri San. Ve Tic. A.S.</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Navoi Mining and Metallurgical Combinat</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NH Recytech Company</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Nihon Material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Ogussa Osterreichische Gold- und Silber-Scheideanstalt GmbH</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Ohura Precious Metal Industry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Planta Recuperadora de Metales SpA</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PT Aneka Tambang (Persero) Tbk</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PX Precinox S.A.</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Rand Refinery (Pty)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REMONDIS PMR B.V.</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Royal Canadian Mint</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SAFINA A.S.</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SEMPSA Joyeria Plateria S.A.</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Shandong Zhaojin Gold &amp; Silver Refinery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Sichuan Tianze Precious Metals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Solar Applied Materials Technology Corp.</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Sumitomo Metal Mining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SungEel HiMetal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T.C.A S.p.A</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Tanaka Kikinzoku Kogyo K.K.</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Tokuriki Honten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TOO Tau-Ken-Altyn</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Umicore S.A. Business Unit Precious Metals Refining</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United Precious Metal Refining, Inc.</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Valcambi S.A.</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Western Australian Mint (T/a The Perth Mint)</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WIELAND Edelmetalle GmbH</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Yamakin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tcPr>
          <w:p>
            <w:pPr>
              <w:ind w:left="360"/>
              <w:spacing w:after="0"/>
              <w:rPr>
                <w:sz w:val="20"/>
                <w:szCs w:val="20"/>
                <w:color w:val="auto"/>
              </w:rPr>
            </w:pPr>
            <w:r>
              <w:rPr>
                <w:rFonts w:ascii="Arial" w:cs="Arial" w:eastAsia="Arial" w:hAnsi="Arial"/>
                <w:sz w:val="18"/>
                <w:szCs w:val="18"/>
                <w:color w:val="auto"/>
              </w:rPr>
              <w:t>Yokohama Metal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Gold</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Zhongyuan Gold Smelter of Zhongjin Gold Corporation</w:t>
            </w:r>
          </w:p>
        </w:tc>
      </w:tr>
      <w:tr>
        <w:trPr>
          <w:trHeight w:val="247"/>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Changsha South Tantalum Niobium Co., Ltd.</w:t>
            </w:r>
          </w:p>
        </w:tc>
      </w:tr>
    </w:tbl>
    <w:p>
      <w:pPr>
        <w:spacing w:after="0" w:line="200" w:lineRule="exact"/>
        <w:rPr>
          <w:sz w:val="20"/>
          <w:szCs w:val="20"/>
          <w:color w:val="auto"/>
        </w:rPr>
      </w:pPr>
    </w:p>
    <w:p>
      <w:pPr>
        <w:spacing w:after="0" w:line="389" w:lineRule="exact"/>
        <w:rPr>
          <w:sz w:val="20"/>
          <w:szCs w:val="20"/>
          <w:color w:val="auto"/>
        </w:rPr>
      </w:pPr>
    </w:p>
    <w:p>
      <w:pPr>
        <w:ind w:left="320" w:hanging="294"/>
        <w:spacing w:after="0"/>
        <w:tabs>
          <w:tab w:leader="none" w:pos="320" w:val="left"/>
        </w:tabs>
        <w:numPr>
          <w:ilvl w:val="0"/>
          <w:numId w:val="13"/>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D Block Metals, LLC</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F&amp;X Electro-Materials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FIR Metals &amp; Resource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Global Advanced Metals Aizu</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Global Advanced Metals Boyertown</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Guangdong Rising Rare Metals-EO Materials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Hengyang King Xing Lifeng New Materials Co.,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Jiangxi Dinghai Tantalum &amp; Niobium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Jiangxi Tuohong New Raw Material</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JiuJiang JinXin Nonferrous Metals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Jiujiang Tanbre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Jiujiang Zhongao Tantalum &amp; Niobium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KEMET de Mexico</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LSM Brasil S.A.</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Materion Newton Inc.</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Metallurgical Products India Pvt.,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Mineracao Taboca S.A.</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Mitsui Mining and Smelting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Ningxia Orient Tantalum Industry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NPM Silmet AS</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PowerX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QuantumClean</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Resind Industria e Comercio Ltda.</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RFH Yancheng Jinye New Material Technology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Taki Chemical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TANIOBIS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TANIOBIS GmbH</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TANIOBIS Japan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TANIOBIS Smelting GmbH &amp; Co. KG</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Telex Metals</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Ulba Metallurgical Plant JSC</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XIMEI RESOURCES (GUANGDONG) LIMITED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XinXing HaoRong Electronic Material Co., Ltd.</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Tantalum</w:t>
            </w:r>
          </w:p>
        </w:tc>
        <w:tc>
          <w:tcPr>
            <w:tcW w:w="10020" w:type="dxa"/>
            <w:vAlign w:val="bottom"/>
          </w:tcPr>
          <w:p>
            <w:pPr>
              <w:ind w:left="360"/>
              <w:spacing w:after="0"/>
              <w:rPr>
                <w:sz w:val="20"/>
                <w:szCs w:val="20"/>
                <w:color w:val="auto"/>
              </w:rPr>
            </w:pPr>
            <w:r>
              <w:rPr>
                <w:rFonts w:ascii="Arial" w:cs="Arial" w:eastAsia="Arial" w:hAnsi="Arial"/>
                <w:sz w:val="18"/>
                <w:szCs w:val="18"/>
                <w:color w:val="auto"/>
              </w:rPr>
              <w:t>Yanling Jincheng Tantalum &amp; Niobium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Alpha Assembly Solutions Inc</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tcPr>
          <w:p>
            <w:pPr>
              <w:ind w:left="360"/>
              <w:spacing w:after="0"/>
              <w:rPr>
                <w:sz w:val="20"/>
                <w:szCs w:val="20"/>
                <w:color w:val="auto"/>
              </w:rPr>
            </w:pPr>
            <w:r>
              <w:rPr>
                <w:rFonts w:ascii="Arial" w:cs="Arial" w:eastAsia="Arial" w:hAnsi="Arial"/>
                <w:sz w:val="18"/>
                <w:szCs w:val="18"/>
                <w:color w:val="auto"/>
              </w:rPr>
              <w:t>Aurubis Beerse</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Aurubis Berango</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tcPr>
          <w:p>
            <w:pPr>
              <w:ind w:left="360"/>
              <w:spacing w:after="0"/>
              <w:rPr>
                <w:sz w:val="20"/>
                <w:szCs w:val="20"/>
                <w:color w:val="auto"/>
              </w:rPr>
            </w:pPr>
            <w:r>
              <w:rPr>
                <w:rFonts w:ascii="Arial" w:cs="Arial" w:eastAsia="Arial" w:hAnsi="Arial"/>
                <w:sz w:val="18"/>
                <w:szCs w:val="18"/>
                <w:color w:val="auto"/>
              </w:rPr>
              <w:t>Chenzhou Yunxiang Mining and Metallurgy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Chifeng Dajingzi Tin Industry Co.,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tcPr>
          <w:p>
            <w:pPr>
              <w:ind w:left="360"/>
              <w:spacing w:after="0"/>
              <w:rPr>
                <w:sz w:val="20"/>
                <w:szCs w:val="20"/>
                <w:color w:val="auto"/>
              </w:rPr>
            </w:pPr>
            <w:r>
              <w:rPr>
                <w:rFonts w:ascii="Arial" w:cs="Arial" w:eastAsia="Arial" w:hAnsi="Arial"/>
                <w:sz w:val="18"/>
                <w:szCs w:val="18"/>
                <w:color w:val="auto"/>
              </w:rPr>
              <w:t>China Tin Group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CRM Synergies</w:t>
            </w:r>
          </w:p>
        </w:tc>
      </w:tr>
      <w:tr>
        <w:trPr>
          <w:trHeight w:val="247"/>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020" w:type="dxa"/>
            <w:vAlign w:val="bottom"/>
          </w:tcPr>
          <w:p>
            <w:pPr>
              <w:ind w:left="360"/>
              <w:spacing w:after="0"/>
              <w:rPr>
                <w:sz w:val="20"/>
                <w:szCs w:val="20"/>
                <w:color w:val="auto"/>
              </w:rPr>
            </w:pPr>
            <w:r>
              <w:rPr>
                <w:rFonts w:ascii="Arial" w:cs="Arial" w:eastAsia="Arial" w:hAnsi="Arial"/>
                <w:sz w:val="18"/>
                <w:szCs w:val="18"/>
                <w:color w:val="auto"/>
              </w:rPr>
              <w:t>CV Ayi Jaya</w:t>
            </w:r>
          </w:p>
        </w:tc>
      </w:tr>
    </w:tbl>
    <w:p>
      <w:pPr>
        <w:spacing w:after="0" w:line="200" w:lineRule="exact"/>
        <w:rPr>
          <w:sz w:val="20"/>
          <w:szCs w:val="20"/>
          <w:color w:val="auto"/>
        </w:rPr>
      </w:pPr>
    </w:p>
    <w:p>
      <w:pPr>
        <w:spacing w:after="0" w:line="389" w:lineRule="exact"/>
        <w:rPr>
          <w:sz w:val="20"/>
          <w:szCs w:val="20"/>
          <w:color w:val="auto"/>
        </w:rPr>
      </w:pPr>
    </w:p>
    <w:p>
      <w:pPr>
        <w:ind w:left="320" w:hanging="294"/>
        <w:spacing w:after="0"/>
        <w:tabs>
          <w:tab w:leader="none" w:pos="320" w:val="left"/>
        </w:tabs>
        <w:numPr>
          <w:ilvl w:val="0"/>
          <w:numId w:val="14"/>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Dongguan Best Alloys Co., Ltd.</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Dowa</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DS Myanmar</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EM Vinto</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Estanho de Rondonia S.A.</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Fabrica Auricchio</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Feinhutte Halsbrucke GmbH</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Fenix Metals</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Gejiu Non-Ferrous Metal Processing Co., Ltd.</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Global Advanced Metals Greenbushes Pty Ltd.</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Guangdong Hanhe Non-Ferrous Metal Co., Ltd.</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HuiChang Hill Tin Industry Co., Ltd.</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Hulterworth Smelter</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Jiangxi New Nanshan Technology Ltd.</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Luna Smelter, Ltd.</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Magnu's Minerais Metais e Ligas Ltda.</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Malaysia Smelting Corporation Berhad (Port Klang)</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Metallic Resources, Inc.</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Mineracao Taboca S.A.</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Mining Minerals Resources SARL</w:t>
            </w:r>
          </w:p>
        </w:tc>
      </w:tr>
      <w:tr>
        <w:trPr>
          <w:trHeight w:val="229"/>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Minsur</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Mitsubishi Materials Corporation</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O.M. Manufacturing (Thailand) Co., Ltd.</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O.M. Manufacturing Philippines, Inc.</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Operaciones Metalurgicas S.A.</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 Kay Metal, Inc</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Aries Kencana Sejahtera</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Arsed Indonesia</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Artha Cipta Langgeng</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ATD Makmur Mandiri Jaya</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Babel Inti Perkasa</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Babel Surya Alam Lestari</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Bangka Prima Tin</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Bangka Serumpun</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Bukit Timah</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Cipta Persada Mulia</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Masbro Alam Stania</w:t>
            </w:r>
          </w:p>
        </w:tc>
      </w:tr>
      <w:tr>
        <w:trPr>
          <w:trHeight w:val="230"/>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Menara Cipta Mulia</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Mitra Stania Prima</w:t>
            </w:r>
          </w:p>
        </w:tc>
      </w:tr>
      <w:tr>
        <w:trPr>
          <w:trHeight w:val="229"/>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Mitra Sukses Globalindo</w:t>
            </w:r>
          </w:p>
        </w:tc>
      </w:tr>
      <w:tr>
        <w:trPr>
          <w:trHeight w:val="230"/>
        </w:trPr>
        <w:tc>
          <w:tcPr>
            <w:tcW w:w="96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shd w:val="clear" w:color="auto" w:fill="F2F2F2"/>
          </w:tcPr>
          <w:p>
            <w:pPr>
              <w:ind w:left="620"/>
              <w:spacing w:after="0"/>
              <w:rPr>
                <w:sz w:val="20"/>
                <w:szCs w:val="20"/>
                <w:color w:val="auto"/>
              </w:rPr>
            </w:pPr>
            <w:r>
              <w:rPr>
                <w:rFonts w:ascii="Arial" w:cs="Arial" w:eastAsia="Arial" w:hAnsi="Arial"/>
                <w:sz w:val="18"/>
                <w:szCs w:val="18"/>
                <w:color w:val="auto"/>
              </w:rPr>
              <w:t>PT Premium Tin Indonesia</w:t>
            </w:r>
          </w:p>
        </w:tc>
      </w:tr>
      <w:tr>
        <w:trPr>
          <w:trHeight w:val="247"/>
        </w:trPr>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10280" w:type="dxa"/>
            <w:vAlign w:val="bottom"/>
          </w:tcPr>
          <w:p>
            <w:pPr>
              <w:ind w:left="620"/>
              <w:spacing w:after="0"/>
              <w:rPr>
                <w:sz w:val="20"/>
                <w:szCs w:val="20"/>
                <w:color w:val="auto"/>
              </w:rPr>
            </w:pPr>
            <w:r>
              <w:rPr>
                <w:rFonts w:ascii="Arial" w:cs="Arial" w:eastAsia="Arial" w:hAnsi="Arial"/>
                <w:sz w:val="18"/>
                <w:szCs w:val="18"/>
                <w:color w:val="auto"/>
              </w:rPr>
              <w:t>PT Prima Timah Utama</w:t>
            </w:r>
          </w:p>
        </w:tc>
      </w:tr>
    </w:tbl>
    <w:p>
      <w:pPr>
        <w:spacing w:after="0" w:line="200" w:lineRule="exact"/>
        <w:rPr>
          <w:sz w:val="20"/>
          <w:szCs w:val="20"/>
          <w:color w:val="auto"/>
        </w:rPr>
      </w:pPr>
    </w:p>
    <w:p>
      <w:pPr>
        <w:spacing w:after="0" w:line="389" w:lineRule="exact"/>
        <w:rPr>
          <w:sz w:val="20"/>
          <w:szCs w:val="20"/>
          <w:color w:val="auto"/>
        </w:rPr>
      </w:pPr>
    </w:p>
    <w:p>
      <w:pPr>
        <w:ind w:left="320" w:hanging="294"/>
        <w:spacing w:after="0"/>
        <w:tabs>
          <w:tab w:leader="none" w:pos="320" w:val="left"/>
        </w:tabs>
        <w:numPr>
          <w:ilvl w:val="0"/>
          <w:numId w:val="15"/>
        </w:numPr>
        <w:rPr>
          <w:rFonts w:ascii="Arial" w:cs="Arial" w:eastAsia="Arial" w:hAnsi="Arial"/>
          <w:sz w:val="13"/>
          <w:szCs w:val="13"/>
          <w:color w:val="C00000"/>
        </w:rPr>
      </w:pPr>
      <w:r>
        <w:rPr>
          <w:rFonts w:ascii="Arial" w:cs="Arial" w:eastAsia="Arial" w:hAnsi="Arial"/>
          <w:sz w:val="13"/>
          <w:szCs w:val="13"/>
          <w:b w:val="1"/>
          <w:bCs w:val="1"/>
          <w:color w:val="auto"/>
        </w:rPr>
        <w:t>silabs.com |Conflict Minerals Report</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PT Putera Sarana Shakti (PT PSS)</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PT Rajawali Rimba Perkasa</w:t>
            </w:r>
          </w:p>
        </w:tc>
      </w:t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PT Rajehan Ariq</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PT Refined Bangka Tin</w:t>
            </w:r>
          </w:p>
        </w:tc>
      </w:t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PT Sariwiguna Binasentosa</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PT Sukses Inti Makmur (SIM)</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PT Timah Nusantara</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PT Timah Tbk Kundur</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PT Timah Tbk Mentok</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PT Tinindo Inter Nusa</w:t>
            </w:r>
          </w:p>
        </w:tc>
      </w:t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PT Tommy Utama</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Resind Industria e Comercio Ltda.</w:t>
            </w:r>
          </w:p>
        </w:tc>
      </w:t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Rui Da Hung</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Soft Metais Ltda.</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Super Ligas</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Takehara PVD Materials Plant / PVD Materials Division of MITSUI MINING &amp; SMELTING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Thaisarco</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Tin Smelting Branch of Yunnan Tin Co., Ltd.</w:t>
            </w:r>
          </w:p>
        </w:tc>
      </w:t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Tin Technology &amp; Refining</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TRATHO Metal Quimica</w:t>
            </w:r>
          </w:p>
        </w:tc>
      </w:tr>
      <w:tr>
        <w:trPr>
          <w:trHeight w:val="229"/>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White Solder Metalurgia e Mineracao Ltda.</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Woodcross Smelting Company Limited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Yunnan Chengfeng Non-ferrous Metals Co., Ltd.</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Tin</w:t>
            </w:r>
          </w:p>
        </w:tc>
        <w:tc>
          <w:tcPr>
            <w:tcW w:w="9920" w:type="dxa"/>
            <w:vAlign w:val="bottom"/>
          </w:tcPr>
          <w:p>
            <w:pPr>
              <w:ind w:left="260"/>
              <w:spacing w:after="0"/>
              <w:rPr>
                <w:sz w:val="20"/>
                <w:szCs w:val="20"/>
                <w:color w:val="auto"/>
              </w:rPr>
            </w:pPr>
            <w:r>
              <w:rPr>
                <w:rFonts w:ascii="Arial" w:cs="Arial" w:eastAsia="Arial" w:hAnsi="Arial"/>
                <w:sz w:val="18"/>
                <w:szCs w:val="18"/>
                <w:color w:val="auto"/>
              </w:rPr>
              <w:t>Yunnan Yunfan Non-ferrous Metals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A.L.M.T. Corp.</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Asia Tungsten Products Vietnam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China Molybdenum Tungsten Co., Ltd.</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Chongyi Zhangyuan Tungsten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Cronimet Brasil Ltda</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Fujian Xinlu Tungsten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Ganzhou Jiangwu Ferrotungsten Co., Ltd.</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Ganzhou Seadragon W &amp; Mo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Global Tungsten &amp; Powders LLC</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Guangdong Xianglu Tungsten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H.C. Starck Tungsten GmbH</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Hubei Green Tungsten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Hunan Chenzhou Mining Co., Ltd.</w:t>
            </w:r>
          </w:p>
        </w:tc>
      </w:tr>
      <w:tr>
        <w:trPr>
          <w:trHeight w:val="230"/>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Japan New Metals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Jiangwu H.C. Starck Tungsten Products Co., Ltd.</w:t>
            </w:r>
          </w:p>
        </w:tc>
      </w:tr>
      <w:tr>
        <w:trPr>
          <w:trHeight w:val="229"/>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Jiangxi Gan Bei Tungsten Co., Ltd.</w:t>
            </w:r>
          </w:p>
        </w:tc>
      </w:tr>
      <w:tr>
        <w:trPr>
          <w:trHeight w:val="230"/>
        </w:trPr>
        <w:tc>
          <w:tcPr>
            <w:tcW w:w="13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shd w:val="clear" w:color="auto" w:fill="F2F2F2"/>
          </w:tcPr>
          <w:p>
            <w:pPr>
              <w:ind w:left="260"/>
              <w:spacing w:after="0"/>
              <w:rPr>
                <w:sz w:val="20"/>
                <w:szCs w:val="20"/>
                <w:color w:val="auto"/>
              </w:rPr>
            </w:pPr>
            <w:r>
              <w:rPr>
                <w:rFonts w:ascii="Arial" w:cs="Arial" w:eastAsia="Arial" w:hAnsi="Arial"/>
                <w:sz w:val="18"/>
                <w:szCs w:val="18"/>
                <w:color w:val="auto"/>
              </w:rPr>
              <w:t>Jiangxi Tonggu Non-ferrous Metallurgical &amp; Chemical Co., Ltd.</w:t>
            </w:r>
          </w:p>
        </w:tc>
      </w:tr>
      <w:tr>
        <w:trPr>
          <w:trHeight w:val="247"/>
        </w:trPr>
        <w:tc>
          <w:tcPr>
            <w:tcW w:w="13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9920" w:type="dxa"/>
            <w:vAlign w:val="bottom"/>
          </w:tcPr>
          <w:p>
            <w:pPr>
              <w:ind w:left="260"/>
              <w:spacing w:after="0"/>
              <w:rPr>
                <w:sz w:val="20"/>
                <w:szCs w:val="20"/>
                <w:color w:val="auto"/>
              </w:rPr>
            </w:pPr>
            <w:r>
              <w:rPr>
                <w:rFonts w:ascii="Arial" w:cs="Arial" w:eastAsia="Arial" w:hAnsi="Arial"/>
                <w:sz w:val="18"/>
                <w:szCs w:val="18"/>
                <w:color w:val="auto"/>
              </w:rPr>
              <w:t>Jiangxi Xinsheng Tungsten Industry Co., Ltd.</w:t>
            </w:r>
          </w:p>
        </w:tc>
      </w:tr>
      <w:tr>
        <w:trPr>
          <w:trHeight w:val="775"/>
        </w:trPr>
        <w:tc>
          <w:tcPr>
            <w:tcW w:w="1320" w:type="dxa"/>
            <w:vAlign w:val="bottom"/>
          </w:tcPr>
          <w:p>
            <w:pPr>
              <w:ind w:left="20"/>
              <w:spacing w:after="0"/>
              <w:rPr>
                <w:sz w:val="20"/>
                <w:szCs w:val="20"/>
                <w:color w:val="auto"/>
              </w:rPr>
            </w:pPr>
            <w:r>
              <w:rPr>
                <w:rFonts w:ascii="Arial" w:cs="Arial" w:eastAsia="Arial" w:hAnsi="Arial"/>
                <w:sz w:val="13"/>
                <w:szCs w:val="13"/>
                <w:color w:val="C00000"/>
              </w:rPr>
              <w:t xml:space="preserve">10  </w:t>
            </w:r>
            <w:r>
              <w:rPr>
                <w:rFonts w:ascii="Arial" w:cs="Arial" w:eastAsia="Arial" w:hAnsi="Arial"/>
                <w:sz w:val="13"/>
                <w:szCs w:val="13"/>
                <w:b w:val="1"/>
                <w:bCs w:val="1"/>
                <w:color w:val="000000"/>
              </w:rPr>
              <w:t>silabs.com |</w:t>
            </w:r>
          </w:p>
        </w:tc>
        <w:tc>
          <w:tcPr>
            <w:tcW w:w="9920" w:type="dxa"/>
            <w:vAlign w:val="bottom"/>
          </w:tcPr>
          <w:p>
            <w:pPr>
              <w:ind w:left="220"/>
              <w:spacing w:after="0"/>
              <w:rPr>
                <w:sz w:val="20"/>
                <w:szCs w:val="20"/>
                <w:color w:val="auto"/>
              </w:rPr>
            </w:pPr>
            <w:r>
              <w:rPr>
                <w:rFonts w:ascii="Arial" w:cs="Arial" w:eastAsia="Arial" w:hAnsi="Arial"/>
                <w:sz w:val="13"/>
                <w:szCs w:val="13"/>
                <w:b w:val="1"/>
                <w:bCs w:val="1"/>
                <w:color w:val="auto"/>
              </w:rPr>
              <w:t>Conflict Minerals Report</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Jiangxi Yaosheng Tungsten Co.,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Kenee Mining Corporation</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Kennametal Fallon</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Kennametal Huntsville</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Lianyou Metals Co.,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Lianyou Resources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Malipo Haiyu Tungsten Co., Ltd.</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Masan High-Tech Materials</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Niagara Refining LLC</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Philippine Bonway Manufacturing Industrial Corporation</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Philippine Chuangxin Industrial Co., Inc.</w:t>
            </w:r>
          </w:p>
        </w:tc>
      </w:tr>
      <w:tr>
        <w:trPr>
          <w:trHeight w:val="230"/>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Shinwon Tungsten (Fujian Shanghang) Co., Ltd.</w:t>
            </w:r>
          </w:p>
        </w:tc>
      </w:tr>
      <w:tr>
        <w:trPr>
          <w:trHeight w:val="229"/>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TANIOBIS Smelting GmbH &amp; Co. KG</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Tungsten Vietnam Joint Stock Company</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Wolfram Bergbau und Hutten AG</w:t>
            </w:r>
          </w:p>
        </w:tc>
      </w:tr>
      <w:tr>
        <w:trPr>
          <w:trHeight w:val="229"/>
        </w:trPr>
        <w:tc>
          <w:tcPr>
            <w:tcW w:w="1220" w:type="dxa"/>
            <w:vAlign w:val="bottom"/>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tcPr>
          <w:p>
            <w:pPr>
              <w:ind w:left="360"/>
              <w:spacing w:after="0"/>
              <w:rPr>
                <w:sz w:val="20"/>
                <w:szCs w:val="20"/>
                <w:color w:val="auto"/>
              </w:rPr>
            </w:pPr>
            <w:r>
              <w:rPr>
                <w:rFonts w:ascii="Arial" w:cs="Arial" w:eastAsia="Arial" w:hAnsi="Arial"/>
                <w:sz w:val="18"/>
                <w:szCs w:val="18"/>
                <w:color w:val="auto"/>
              </w:rPr>
              <w:t>Xiamen Tungsten (H.C.) Co., Ltd.</w:t>
            </w:r>
          </w:p>
        </w:tc>
      </w:tr>
      <w:tr>
        <w:trPr>
          <w:trHeight w:val="230"/>
        </w:trPr>
        <w:tc>
          <w:tcPr>
            <w:tcW w:w="1220" w:type="dxa"/>
            <w:vAlign w:val="bottom"/>
            <w:shd w:val="clear" w:color="auto" w:fill="F2F2F2"/>
          </w:tcPr>
          <w:p>
            <w:pPr>
              <w:ind w:left="80"/>
              <w:spacing w:after="0"/>
              <w:rPr>
                <w:sz w:val="20"/>
                <w:szCs w:val="20"/>
                <w:color w:val="auto"/>
              </w:rPr>
            </w:pPr>
            <w:r>
              <w:rPr>
                <w:rFonts w:ascii="Arial" w:cs="Arial" w:eastAsia="Arial" w:hAnsi="Arial"/>
                <w:sz w:val="18"/>
                <w:szCs w:val="18"/>
                <w:b w:val="1"/>
                <w:bCs w:val="1"/>
                <w:color w:val="auto"/>
              </w:rPr>
              <w:t>Tungsten</w:t>
            </w:r>
          </w:p>
        </w:tc>
        <w:tc>
          <w:tcPr>
            <w:tcW w:w="10020" w:type="dxa"/>
            <w:vAlign w:val="bottom"/>
            <w:shd w:val="clear" w:color="auto" w:fill="F2F2F2"/>
          </w:tcPr>
          <w:p>
            <w:pPr>
              <w:ind w:left="360"/>
              <w:spacing w:after="0"/>
              <w:rPr>
                <w:sz w:val="20"/>
                <w:szCs w:val="20"/>
                <w:color w:val="auto"/>
              </w:rPr>
            </w:pPr>
            <w:r>
              <w:rPr>
                <w:rFonts w:ascii="Arial" w:cs="Arial" w:eastAsia="Arial" w:hAnsi="Arial"/>
                <w:sz w:val="18"/>
                <w:szCs w:val="18"/>
                <w:color w:val="auto"/>
              </w:rPr>
              <w:t>Xiamen Tungsten Co., Ltd.</w:t>
            </w:r>
          </w:p>
        </w:tc>
      </w:tr>
    </w:tbl>
    <w:p>
      <w:pPr>
        <w:spacing w:after="0" w:line="337" w:lineRule="exact"/>
        <w:rPr>
          <w:sz w:val="20"/>
          <w:szCs w:val="20"/>
          <w:color w:val="auto"/>
        </w:rPr>
      </w:pPr>
    </w:p>
    <w:p>
      <w:pPr>
        <w:ind w:right="100" w:firstLine="8"/>
        <w:spacing w:after="0" w:line="234" w:lineRule="auto"/>
        <w:tabs>
          <w:tab w:leader="none" w:pos="193"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 smelters and refiners listed were identified by the Company’s suppliers. Certain suppliers report at a company or division level, meaning they report the conflict minerals contained in all of their products, not just the products sold to the Company. As a result, not all of the smelters and refiners listed above may have processed the necessary conflict minerals contained in the Company’s products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D91E2A"/>
        </w:rPr>
        <w:t>Country of Origin Information</w:t>
      </w:r>
    </w:p>
    <w:p>
      <w:pPr>
        <w:spacing w:after="0" w:line="3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Below is a summary of the mineral country of origin information collected as a result of the Company’s due diligence activities. RMI provides a list of potential countries of origin, which includes all countries of origin compiled from RMI’s member participants. The inclusion of a country on the list from RMI is not a final indicator that the Company utilized materials sourced from this country.</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Albania, Algeria, Andorra, Angola, Anguilla, Antigua, Argentina, Armenia, Aruba, Australia, Austria, Azerbaijan, Bahamas, Bangladesh, Barbados, Belarus, Belgium, Benin, Bolivia, Bosnia, Brazil, Brunei, Bulgaria, Burkina Faso, Burundi, Cambodia, Cameroon, Canada, Cayman Islands, Chile, China, Colombia, Costa Rica, Côte d’Ivoire, Croatia, Curacao, Cyprus, Czech Republic, Democratic Republic of Congo, Denmark, Dominican Republic, Ecuador, Egypt, El Salvador, Estonia, Eswatini, Ethiopia, Fiji, Finland, France, Georgia, Germany, Ghana, Greece, Grenada, Guatemala, Guinea, Guyana, Honduras, Hungary, Iceland, India, Indonesia, Ireland, Israel, Italy, Jamaica, Japan, Jordan, Kazakhstan, Kenya, Kyrgyzstan, Laos, Latvia, Lebanon, Liberia, Liechtenstein, Lithuania, Luxembourg, Madagascar, Malaysia, Mali, Malta, Mauritania, Mexico, Monaco, Mongolia, Morocco, Mozambique, Myanmar, Namibia, Netherlands, New Zealand, Nicaragua, Niger, Nigeria, North Macedonia, Norway, Oman, Panama, Papua New Guinea, Peru, Philippines, Poland, Portugal, Puerto Rico, Romania, Russian Federation, Rwanda, Saint Kitts, Saint Lucia, Saint Maarten, Saint Vincent, San Marino, Saudi Arabia, Senegal, Serbia, Sierra Leone, Singapore, Slovakia, Slovenia, Solomon Islands, South Africa, South Korea, Spain, Sri Lanka, Sudan, Suriname, Sweden, Switzerland, Tajikistan, Tanzania, Thailand, Trinidad, Tunisia, Turkey, Uganda, Ukraine, United Arab Emirates, United Kingdom, United States, Uruguay, Uzbekistan, Venezuela, Vietnam, Zambia and Zimbabwe.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300" w:val="left"/>
          <w:tab w:leader="none" w:pos="1520" w:val="left"/>
        </w:tabs>
        <w:rPr>
          <w:sz w:val="20"/>
          <w:szCs w:val="20"/>
          <w:color w:val="auto"/>
        </w:rPr>
      </w:pPr>
      <w:r>
        <w:rPr>
          <w:rFonts w:ascii="Arial" w:cs="Arial" w:eastAsia="Arial" w:hAnsi="Arial"/>
          <w:sz w:val="13"/>
          <w:szCs w:val="13"/>
          <w:color w:val="C00000"/>
        </w:rPr>
        <w:t>11</w:t>
      </w:r>
      <w:r>
        <w:rPr>
          <w:sz w:val="20"/>
          <w:szCs w:val="20"/>
          <w:color w:val="auto"/>
        </w:rPr>
        <w:tab/>
      </w:r>
      <w:r>
        <w:rPr>
          <w:rFonts w:ascii="Arial" w:cs="Arial" w:eastAsia="Arial" w:hAnsi="Arial"/>
          <w:sz w:val="13"/>
          <w:szCs w:val="13"/>
          <w:b w:val="1"/>
          <w:bCs w:val="1"/>
          <w:color w:val="auto"/>
        </w:rPr>
        <w:t>silabs.com |</w:t>
      </w:r>
      <w:r>
        <w:rPr>
          <w:sz w:val="20"/>
          <w:szCs w:val="20"/>
          <w:color w:val="auto"/>
        </w:rPr>
        <w:tab/>
      </w:r>
      <w:r>
        <w:rPr>
          <w:rFonts w:ascii="Arial" w:cs="Arial" w:eastAsia="Arial" w:hAnsi="Arial"/>
          <w:sz w:val="13"/>
          <w:szCs w:val="13"/>
          <w:b w:val="1"/>
          <w:bCs w:val="1"/>
          <w:color w:val="auto"/>
        </w:rPr>
        <w:t>Conflict Minerals Report</w:t>
      </w:r>
    </w:p>
    <w:p>
      <w:pPr>
        <w:sectPr>
          <w:pgSz w:w="11900" w:h="16838" w:orient="portrait"/>
          <w:cols w:equalWidth="0" w:num="1">
            <w:col w:w="11240"/>
          </w:cols>
          <w:pgMar w:left="320" w:top="1440" w:right="339" w:bottom="1440" w:gutter="0" w:footer="0" w:header="0"/>
        </w:sectPr>
      </w:pPr>
    </w:p>
    <w:bookmarkStart w:id="14" w:name="page15"/>
    <w:bookmarkEnd w:id="14"/>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14070"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D91E2A"/>
        </w:rPr>
        <w:t>Efforts to determine the mine or location of origin with the greatest possible specificity of the necessary conflict minerals 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D91E2A"/>
        </w:rPr>
        <w:t>Company’s products:</w:t>
      </w:r>
    </w:p>
    <w:p>
      <w:pPr>
        <w:spacing w:after="0" w:line="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an effort to determine the mine or location of origin of the necessary conflict minerals in its products that are DRC conflict free with the greatest possible specificity, the Company developed and conducted the due diligence measures described in Part 1 of this Conflict Minerals Report.</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300" w:val="left"/>
          <w:tab w:leader="none" w:pos="1520" w:val="left"/>
        </w:tabs>
        <w:rPr>
          <w:sz w:val="20"/>
          <w:szCs w:val="20"/>
          <w:color w:val="auto"/>
        </w:rPr>
      </w:pPr>
      <w:r>
        <w:rPr>
          <w:rFonts w:ascii="Arial" w:cs="Arial" w:eastAsia="Arial" w:hAnsi="Arial"/>
          <w:sz w:val="13"/>
          <w:szCs w:val="13"/>
          <w:color w:val="C00000"/>
        </w:rPr>
        <w:t>12</w:t>
      </w:r>
      <w:r>
        <w:rPr>
          <w:sz w:val="20"/>
          <w:szCs w:val="20"/>
          <w:color w:val="auto"/>
        </w:rPr>
        <w:tab/>
      </w:r>
      <w:r>
        <w:rPr>
          <w:rFonts w:ascii="Arial" w:cs="Arial" w:eastAsia="Arial" w:hAnsi="Arial"/>
          <w:sz w:val="13"/>
          <w:szCs w:val="13"/>
          <w:b w:val="1"/>
          <w:bCs w:val="1"/>
          <w:color w:val="auto"/>
        </w:rPr>
        <w:t>silabs.com |</w:t>
      </w:r>
      <w:r>
        <w:rPr>
          <w:sz w:val="20"/>
          <w:szCs w:val="20"/>
          <w:color w:val="auto"/>
        </w:rPr>
        <w:tab/>
      </w:r>
      <w:r>
        <w:rPr>
          <w:rFonts w:ascii="Arial" w:cs="Arial" w:eastAsia="Arial" w:hAnsi="Arial"/>
          <w:sz w:val="13"/>
          <w:szCs w:val="13"/>
          <w:b w:val="1"/>
          <w:bCs w:val="1"/>
          <w:color w:val="auto"/>
        </w:rPr>
        <w:t>Conflict Minerals Report</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5">
    <w:nsid w:val="1F16E9E8"/>
    <w:multiLevelType w:val="hybridMultilevel"/>
    <w:lvl w:ilvl="0">
      <w:lvlJc w:val="left"/>
      <w:lvlText w:val="%1."/>
      <w:numFmt w:val="decimal"/>
      <w:start w:val="4"/>
    </w:lvl>
    <w:lvl w:ilvl="1">
      <w:lvlJc w:val="left"/>
      <w:lvlText w:val="-"/>
      <w:numFmt w:val="bullet"/>
      <w:start w:val="1"/>
    </w:lvl>
    <w:lvl w:ilvl="2">
      <w:lvlJc w:val="left"/>
      <w:lvlText w:val="o"/>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4"/>
      <w:numFmt w:val="bullet"/>
      <w:start w:val="1"/>
    </w:lvl>
  </w:abstractNum>
  <w:abstractNum w:abstractNumId="10">
    <w:nsid w:val="109CF92E"/>
    <w:multiLevelType w:val="hybridMultilevel"/>
    <w:lvl w:ilvl="0">
      <w:lvlJc w:val="left"/>
      <w:lvlText w:val="5"/>
      <w:numFmt w:val="bullet"/>
      <w:start w:val="1"/>
    </w:lvl>
  </w:abstractNum>
  <w:abstractNum w:abstractNumId="11">
    <w:nsid w:val="DED7263"/>
    <w:multiLevelType w:val="hybridMultilevel"/>
    <w:lvl w:ilvl="0">
      <w:lvlJc w:val="left"/>
      <w:lvlText w:val="6"/>
      <w:numFmt w:val="bullet"/>
      <w:start w:val="1"/>
    </w:lvl>
  </w:abstractNum>
  <w:abstractNum w:abstractNumId="12">
    <w:nsid w:val="7FDCC233"/>
    <w:multiLevelType w:val="hybridMultilevel"/>
    <w:lvl w:ilvl="0">
      <w:lvlJc w:val="left"/>
      <w:lvlText w:val="7"/>
      <w:numFmt w:val="bullet"/>
      <w:start w:val="1"/>
    </w:lvl>
  </w:abstractNum>
  <w:abstractNum w:abstractNumId="13">
    <w:nsid w:val="1BEFD79F"/>
    <w:multiLevelType w:val="hybridMultilevel"/>
    <w:lvl w:ilvl="0">
      <w:lvlJc w:val="left"/>
      <w:lvlText w:val="8"/>
      <w:numFmt w:val="bullet"/>
      <w:start w:val="1"/>
    </w:lvl>
  </w:abstractNum>
  <w:abstractNum w:abstractNumId="14">
    <w:nsid w:val="41A7C4C9"/>
    <w:multiLevelType w:val="hybridMultilevel"/>
    <w:lvl w:ilvl="0">
      <w:lvlJc w:val="left"/>
      <w:lvlText w:val="9"/>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2026-05-28T17:03:43Z</dcterms:created>
  <dcterms:modified xsi:type="dcterms:W3CDTF">2026-05-28T17:03:43Z</dcterms:modified>
</cp:coreProperties>
</file>