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4"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5"/>
          <w:szCs w:val="25"/>
          <w:b w:val="1"/>
          <w:bCs w:val="1"/>
          <w:color w:val="auto"/>
        </w:rPr>
        <w:t>SILICON LABORATORIES INC.</w:t>
      </w:r>
    </w:p>
    <w:p>
      <w:pPr>
        <w:spacing w:after="0" w:line="4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Silicon Labs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[INSERT]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Important News About Silicon Labs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Valued Customer,</w:t>
      </w:r>
    </w:p>
    <w:p>
      <w:pPr>
        <w:spacing w:after="0" w:line="22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Silicon Labs, our mission is to deliver the industry’s leading-edge connectivity solutions to drive the development of smart home, commercial, consumer, and industrial applications. Over the years, we’ve evolved and invested to meet the changing needs of our customers, ensuring we can provide you with innovative, secure, and energy-efficient embedded wireless technology.</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Today, I am excited to announce the next step in our journey. This afternoon, we announced that we have entered into a definitive agreement to be acquired by Texas Instruments. You can learn more about the announcement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Together with Texas Instruments, we believe we can do more. Combining Silicon Labs’ embedded wireless connectivity portfolio with Texas Instruments’ technology, manufacturing capabilities, and high-performing culture positions us to accelerate innovation. This partnership expands our ability to serve customers worldwide, delivering greater scale, deeper end-market expertise, and enhanced value and support.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Until the transaction is finalized, which is anticipated to occur in the first half of 2027 pending customary regulatory and other approvals, it will remain “business as usual” at Silicon Labs. Above all, we want to assure you that our entire team is – and will remain – fully dedicated to serving you. The future is bright for Silicon Labs, and we are excited to continue working with you for years to 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do not hesitate to reach out to your existing relationship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10900"/>
          </w:cols>
          <w:pgMar w:left="440"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Silicon Laboratories Inc. (“Silicon Labs”) plans to file a proxy statement with the Securities and Exchange Commission (the “SEC”) with respect to a special meeting of stockholders for purposes of obtaining stockholder approval of the proposed transaction. This communication is not a substitute for the proxy statement or any other document that Silicon Labs may file with the SEC. The definitive proxy statement (when available) will be sent or given to the stockholders of Silicon Labs and will contain important information about the proposed transaction and related matters.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Silicon Labs, Texas Instruments Incorporated (“Texas Instruments”) and their respective directors and executive officers may be deemed, under SEC rules, to be participants in the solicitation of proxies in respect of the proposed transaction. Information regarding Silicon Labs’ directors and executive officers is available in (a) Silicon Labs’ Annual Report on Form 10-K for the fiscal year ended December 28, 2024, including under the headings “Item</w:t>
      </w:r>
    </w:p>
    <w:p>
      <w:pPr>
        <w:spacing w:after="0" w:line="2" w:lineRule="exact"/>
        <w:rPr>
          <w:sz w:val="20"/>
          <w:szCs w:val="20"/>
          <w:color w:val="auto"/>
        </w:rPr>
      </w:pPr>
    </w:p>
    <w:p>
      <w:pPr>
        <w:ind w:left="4" w:hanging="4"/>
        <w:spacing w:after="0" w:line="268" w:lineRule="auto"/>
        <w:tabs>
          <w:tab w:leader="none" w:pos="2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Copies of the documents filed with the SEC by Silicon Labs will be available free of charge through the website maintained by the SEC and at Silicon Labs’ website at https://investor.silabs.com/.</w:t>
      </w:r>
    </w:p>
    <w:p>
      <w:pPr>
        <w:sectPr>
          <w:pgSz w:w="11900" w:h="16838" w:orient="portrait"/>
          <w:cols w:equalWidth="0" w:num="1">
            <w:col w:w="10944"/>
          </w:cols>
          <w:pgMar w:left="436" w:top="266" w:right="51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www.sec.gov; (b) Texas Instruments’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at Texas Instruments’ website at https://investor.ti.com/.</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w:t>
      </w:r>
    </w:p>
    <w:p>
      <w:pPr>
        <w:sectPr>
          <w:pgSz w:w="11900" w:h="16838" w:orient="portrait"/>
          <w:cols w:equalWidth="0" w:num="1">
            <w:col w:w="11000"/>
          </w:cols>
          <w:pgMar w:left="440" w:top="270" w:right="459" w:bottom="1440" w:gutter="0" w:footer="0" w:header="0"/>
        </w:sectPr>
      </w:pPr>
    </w:p>
    <w:bookmarkStart w:id="4" w:name="page5"/>
    <w:bookmarkEnd w:id="4"/>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(a) risks related to the consummation of the proposed transaction, including the risks that (i) the proposed transaction may not be consummated within the anticipated time period, or at all, (ii) the parties may fail to obtain Silicon Labs stockholder approval of the merger agreement, (iii) the parties may fail to secure the termination or expiration of any waiting period applicable under the Hart-Scott-Rodino Antitrust Improvements Act of 1976, as amended, or obtain other required governmental and regulatory approvals, and (iv) other conditions to the consummation of the proposed transaction under the merger agreement may not be satisfied;</w:t>
      </w:r>
    </w:p>
    <w:p>
      <w:pPr>
        <w:spacing w:after="0" w:line="4" w:lineRule="exact"/>
        <w:rPr>
          <w:sz w:val="20"/>
          <w:szCs w:val="20"/>
          <w:color w:val="auto"/>
        </w:rPr>
      </w:pPr>
    </w:p>
    <w:p>
      <w:pPr>
        <w:ind w:left="4" w:hanging="4"/>
        <w:spacing w:after="0" w:line="265"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that any termination of the merger agreement may have on Silicon Labs or Texas Instruments and their respective businesses, including the risk that Silicon Labs’ or Texas Instruments’ stock price may decline significantly if the proposed transaction is not completed; (c) the effects that the announcement or pendency of the proposed transaction may have on Silicon Labs or Texas Instruments and their respective businesses, including the risks that as a result (i) Silicon Labs’ or Texas Instruments’ business, operating results or stock price may suffer, (ii) Silicon Labs’ or Texas Instruments’ current plans and operations may be disrupted, (iii) Silicon Labs’ or Texas Instruments’ ability to retain or recruit key employees may be adversely affected, (iv) Silicon Labs’ or Texas Instruments’ business relationships (including, customers and suppliers) may be adversely affected, or (v) Silicon Labs’ or Texas Instruments’ management’s or employees’ attention may be diverted from other important matters; (d) the effect of limitations that the merger agreement places on Silicon Labs’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Silicon Labs and others; (f) the risk that the proposed transaction and related transactions may involve unexpected costs, liabilities or delays; (g) other economic, business, competitive, legal, regulatory, and/or tax factors, including the impact of the current global memory chip shortage; and (h) other factors described in the reports of (i)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Silicon Labs’ other filings with the SEC and</w:t>
      </w:r>
    </w:p>
    <w:p>
      <w:pPr>
        <w:spacing w:after="0" w:line="2" w:lineRule="exact"/>
        <w:rPr>
          <w:rFonts w:ascii="Times New Roman" w:cs="Times New Roman" w:eastAsia="Times New Roman" w:hAnsi="Times New Roman"/>
          <w:sz w:val="17"/>
          <w:szCs w:val="17"/>
          <w:color w:val="auto"/>
        </w:rPr>
      </w:pPr>
    </w:p>
    <w:p>
      <w:pPr>
        <w:ind w:left="4" w:right="280" w:hanging="4"/>
        <w:spacing w:after="0" w:line="255" w:lineRule="auto"/>
        <w:tabs>
          <w:tab w:leader="none" w:pos="2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w:t>
      </w:r>
    </w:p>
    <w:p>
      <w:pPr>
        <w:sectPr>
          <w:pgSz w:w="11900" w:h="16838" w:orient="portrait"/>
          <w:cols w:equalWidth="0" w:num="1">
            <w:col w:w="11004"/>
          </w:cols>
          <w:pgMar w:left="436" w:top="270" w:right="4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forward-looking statements attributable to Silicon Labs or Texas Instruments, or persons acting on Silicon Labs’ or Texas Instruments’ behalf, are expressly qualified in their entirety by this cautionary statement. Further, each of Silicon Labs and Texas Instruments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2026-02-04T16:25:55Z</dcterms:created>
  <dcterms:modified xsi:type="dcterms:W3CDTF">2026-02-04T16:25:55Z</dcterms:modified>
</cp:coreProperties>
</file>